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15 VermVerkProspV — Verringerte Prospektanforderungen</w:t>
      </w:r>
    </w:p>
    <w:p>
      <w:r>
        <w:rPr>
          <w:color w:val="555555"/>
          <w:sz w:val="18"/>
        </w:rPr>
        <w:t xml:space="preserve">Vermögensanlagen-Verkaufsprospektverordnung</w:t>
      </w:r>
    </w:p>
    <w:p>
      <w:r>
        <w:rPr>
          <w:color w:val="555555"/>
          <w:sz w:val="18"/>
        </w:rPr>
        <w:t xml:space="preserve">Stand: 14.09.2021 (konsolidierte Textfassung, kein amtliches Inkrafttretensdatum)</w:t>
      </w:r>
    </w:p>
    <w:p>
      <w:r>
        <w:t xml:space="preserve">(1) Für den Fall, dass der Emittent vor weniger als 18 Monaten gegründet worden ist und noch keinen Jahresabschluss und Lagebericht nach § 24 des Vermögensanlagengesetzes erstellt hat, muss der Verkaufsprospekt abweichend von den Anforderungen nach den §§ 10, 11 und 13 folgende Angaben enthalten:</w:t>
      </w:r>
    </w:p>
    <w:p>
      <w:pPr>
        <w:ind w:left="420"/>
      </w:pPr>
      <w:r>
        <w:t xml:space="preserve">1. die Eröffnungsbilanz;</w:t>
      </w:r>
    </w:p>
    <w:p>
      <w:pPr>
        <w:ind w:left="420"/>
      </w:pPr>
      <w:r>
        <w:t xml:space="preserve">2. eine Zwischenübersicht, deren Stichtag höchstens zwei Monate vor der Aufstellung des Verkaufsprospekts liegen darf;</w:t>
      </w:r>
    </w:p>
    <w:p>
      <w:pPr>
        <w:ind w:left="420"/>
      </w:pPr>
      <w:r>
        <w:t xml:space="preserve">3. die voraussichtliche Vermögens-, Finanz- und Ertragslage mindestens für das laufende und die folgenden drei Geschäftsjahre;</w:t>
      </w:r>
    </w:p>
    <w:p>
      <w:pPr>
        <w:ind w:left="420"/>
      </w:pPr>
      <w:r>
        <w:t xml:space="preserve">4. Planzahlen des Emittenten, insbesondere zu Investitionen, Produktion, Umsatz und Ergebnis, mindestens für das laufende und die folgenden drei Geschäftsjahre.</w:t>
      </w:r>
    </w:p>
    <w:p>
      <w:r>
        <w:t xml:space="preserve">Die Einzelpositionen der Zwischenübersicht nach der Nummer 2 sind zu erläutern. Zu den Angaben nach den Nummern 3 und 4 sind die zugrunde liegenden wesentlichen Annahmen und Wirkungszusammenhänge in geeigneter Form zu erläutern.</w:t>
      </w:r>
    </w:p>
    <w:p>
      <w:r>
        <w:t xml:space="preserve">(2) Von der Aufnahme einzelner Angaben in den Verkaufsprospekt kann abgesehen werden, wenn</w:t>
      </w:r>
    </w:p>
    <w:p>
      <w:pPr>
        <w:ind w:left="420"/>
      </w:pPr>
      <w:r>
        <w:t xml:space="preserve">1. diese Angaben nur von geringer Bedeutung und nicht geeignet sind, die Beurteilung der Vermögens-, Finanz- und Ertragslage und der Entwicklungsaussichten des Emittenten zu beeinflussen, oder</w:t>
      </w:r>
    </w:p>
    <w:p>
      <w:pPr>
        <w:ind w:left="420"/>
      </w:pPr>
      <w:r>
        <w:t xml:space="preserve">2. die Verbreitung dieser Angaben dem Emittenten erheblichen Schaden zufügt, sofern die Nichtveröffentlichung das Publikum nicht über die für die Beurteilung der Vermögensanlagen wesentlichen Tatsachen und Umstände täuscht.</w:t>
      </w:r>
    </w:p>
    <w:p>
      <w:r>
        <w:rPr>
          <w:color w:val="555555"/>
          <w:sz w:val="17"/>
        </w:rPr>
        <w:t xml:space="preserve">Zitiervorschlag: § 15 VermVerkProspV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https://recht.nulegal.eu/gesetze/VermVerkProspV/15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