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VermVerkProspV — Gewährleistete Vermögensanlagen</w:t>
      </w:r>
    </w:p>
    <w:p>
      <w:r>
        <w:rPr>
          <w:color w:val="555555"/>
          <w:sz w:val="18"/>
        </w:rPr>
        <w:t xml:space="preserve">Vermögensanlagen-Verkaufsprospektverordnung</w:t>
      </w:r>
    </w:p>
    <w:p>
      <w:r>
        <w:rPr>
          <w:color w:val="555555"/>
          <w:sz w:val="18"/>
        </w:rPr>
        <w:t xml:space="preserve">Stand: 14.09.2021 (konsolidierte Textfassung, kein amtliches Inkrafttretensdatum)</w:t>
      </w:r>
    </w:p>
    <w:p>
      <w:r>
        <w:t xml:space="preserve">Für das Angebot von Vermögensanlagen, für deren Verzinsung oder Rückzahlung eine juristische Person oder Gesellschaft die Gewährleistung übernommen hat, sind die Angaben nach den §§ 5 bis 13a auch über die Person oder Gesellschaft, welche die Gewährleistung übernommen hat, aufzunehmen.</w:t>
      </w:r>
    </w:p>
    <w:p>
      <w:r>
        <w:rPr>
          <w:color w:val="555555"/>
          <w:sz w:val="17"/>
        </w:rPr>
        <w:t xml:space="preserve">Zitiervorschlag: § 14 VermVerkProspV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