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VermVerkProspV — Angaben über Auswirkungen auf die Fähigkeit zur Zins- und Rückzahlung</w:t>
      </w:r>
    </w:p>
    <w:p>
      <w:r>
        <w:rPr>
          <w:color w:val="555555"/>
          <w:sz w:val="18"/>
        </w:rPr>
        <w:t xml:space="preserve">Vermögensanlagen-Verkaufsprospektverordnung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Verkaufsprospekt muss an hervorgehobener Stelle eine ausführliche Darstellung der Auswirkungen der Vermögens-, Finanz- und Ertragslage sowie der Geschäftsaussichten auf die Fähigkeit des Emittenten, seinen Verpflichtungen zur Zinszahlung und Rückzahlung für die Vermögensanlage nachzukommen, enthalten.</w:t>
      </w:r>
    </w:p>
    <w:p>
      <w:r>
        <w:rPr>
          <w:color w:val="555555"/>
          <w:sz w:val="17"/>
        </w:rPr>
        <w:t xml:space="preserve">Zitiervorschlag: § 13a VermVerkProspV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https://recht.nulegal.eu/gesetze/VermVerkProspV/13a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