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VermVerkProspV — Angaben über den jüngsten Geschäftsgang und die Geschäftsaussichten des Emittenten</w:t>
      </w:r>
    </w:p>
    <w:p>
      <w:r>
        <w:rPr>
          <w:color w:val="555555"/>
          <w:sz w:val="18"/>
        </w:rPr>
        <w:t xml:space="preserve">Vermögensanlagen-Verkaufsprospektverordnung</w:t>
      </w:r>
    </w:p>
    <w:p>
      <w:r>
        <w:rPr>
          <w:color w:val="555555"/>
          <w:sz w:val="18"/>
        </w:rPr>
        <w:t xml:space="preserve">Stand: 10.06.2019 (konsolidierte Textfassung, kein amtliches Inkrafttretensdatum)</w:t>
      </w:r>
    </w:p>
    <w:p>
      <w:r>
        <w:t xml:space="preserve">Der Verkaufsprospekt muss allgemeine Ausführungen über die Geschäftsentwicklung des Emittenten nach dem Schluss des Geschäftsjahres, auf das sich der letzte offen gelegte Jahresabschluss bezieht, sowie Angaben über die Geschäftsaussichten des Emittenten mindestens für das laufende Geschäftsjahr enthalten.</w:t>
      </w:r>
    </w:p>
    <w:p>
      <w:r>
        <w:rPr>
          <w:color w:val="555555"/>
          <w:sz w:val="17"/>
        </w:rPr>
        <w:t xml:space="preserve">Zitiervorschlag: § 13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