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VermVerkProspV — Angaben über die Vermögens-, Finanz- und Ertragslage des Emittenten</w:t>
      </w:r>
    </w:p>
    <w:p>
      <w:r>
        <w:rPr>
          <w:color w:val="555555"/>
          <w:sz w:val="18"/>
        </w:rPr>
        <w:t xml:space="preserve">Vermögensanlagen-Verkaufsprospektverordnung</w:t>
      </w:r>
    </w:p>
    <w:p>
      <w:r>
        <w:rPr>
          <w:color w:val="555555"/>
          <w:sz w:val="18"/>
        </w:rPr>
        <w:t xml:space="preserve">Stand: 14.09.2021 (konsolidierte Textfassung, kein amtliches Inkrafttretensdatum)</w:t>
      </w:r>
    </w:p>
    <w:p>
      <w:r>
        <w:t xml:space="preserve">(1) Der Verkaufsprospekt muss über die Vermögens-, Finanz- und Ertragslage des Emittenten enthalten:</w:t>
      </w:r>
    </w:p>
    <w:p>
      <w:pPr>
        <w:ind w:left="420"/>
      </w:pPr>
      <w:r>
        <w:t xml:space="preserve">1. den letzten nach den §§ 24 und 25 des Vermögensanlagengesetzes aufgestellten und geprüften Jahresabschluss einschließlich des Datums seiner Feststellung sowie den letzten nach diesen Vorschriften aufgestellten und geprüften Lagebericht,</w:t>
      </w:r>
    </w:p>
    <w:p>
      <w:pPr>
        <w:ind w:left="420"/>
      </w:pPr>
      <w:r>
        <w:t xml:space="preserve">2. eine Zwischenübersicht, deren Stichtag höchstens zwei Monate vor der Aufstellung des Verkaufsprospekts liegen darf und</w:t>
      </w:r>
    </w:p>
    <w:p>
      <w:pPr>
        <w:ind w:left="420"/>
      </w:pPr>
      <w:r>
        <w:t xml:space="preserve">3. ausführliche Erläuterungen der Einzelpositionen der Zwischenübersicht.</w:t>
      </w:r>
    </w:p>
    <w:p>
      <w:r>
        <w:t xml:space="preserve">Der Stichtag des in Satz 1 Nummer 1 genannten Abschlusses darf höchstens 18 Monate vor der Aufstellung des Verkaufsprospekts liegen.</w:t>
      </w:r>
    </w:p>
    <w:p>
      <w:r>
        <w:t xml:space="preserve">(2) Ist der Emittent nur zur Aufstellung eines Konzernabschlusses verpflichtet, so ist dieser in den Verkaufsprospekt aufzunehmen; ist er auch zur Aufstellung eines Jahresabschlusses verpflichtet, so sind beide Arten von Abschlüssen aufzunehmen. Ein Konzernabschluss kann auch im Wege eines Verweises in den Verkaufsprospekt aufgenommen werden, wenn der Konzernabschluss auf Grund anderweitiger gesetzlicher Bestimmungen veröffentlicht worden ist. Der Verweis muss angeben, wo der Konzernabschluss veröffentlicht ist. In diesem Fall muss der bei der Bundesanstalt hinterlegte Prospekt auch ein gedrucktes Exemplar des Konzernabschlusses enthalten.</w:t>
      </w:r>
    </w:p>
    <w:p>
      <w:r>
        <w:t xml:space="preserve">(3) Jede wesentliche Änderung der Angaben nach Absatz 1 Nr. 1 oder der Zwischenübersicht, die nach dem Stichtag eingetreten ist, muss im Verkaufsprospekt erläutert werden.</w:t>
      </w:r>
    </w:p>
    <w:p>
      <w:r>
        <w:t xml:space="preserve">(4) Der Verkaufsprospekt muss die voraussichtliche Vermögens-, Finanz- und Ertragslage mindestens für das laufende und das folgende Geschäftsjahr darstellen.</w:t>
      </w:r>
    </w:p>
    <w:p>
      <w:r>
        <w:rPr>
          <w:color w:val="555555"/>
          <w:sz w:val="17"/>
        </w:rPr>
        <w:t xml:space="preserve">Zitiervorschlag: § 10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