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VermVerkProspGebV</w:t>
      </w:r>
    </w:p>
    <w:p>
      <w:r>
        <w:rPr>
          <w:color w:val="555555"/>
          <w:sz w:val="18"/>
        </w:rPr>
        <w:t xml:space="preserve">Vermögensanlagen-Verkaufsprospektgebührenverordnung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16 Satz 2 des Verkaufsprospektgesetzes in der Fassung der Bekanntmachung vom 9. September 1998 (BGBl. I S. 2701), der durch Artikel 2 Nr. 12 des Gesetzes vom 22. Juni 2005 (BGBl. I S. 1698) neu gefasst worden ist, in Verbindung mit dem 2. Abschnitt des Verwaltungskostengesetzes vom 23. Juni 1970 (BGBl. I S. 821) und § 1 Nr. 6 der Verordnung zur Übertragung von Befugnissen zum Erlass von Rechtsverordnungen auf die Bundesanstalt für Finanzdienstleistungsaufsicht, § 1 Nr. 6 eingefügt durch Artikel 7 Nr. 2 des Gesetzes vom 22. Juni 2005 (BGBl. I S. 1698),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VermVerkProspGebV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