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VermVerkProspGebV — (zu § 2)Gebührenverzeichnis</w:t>
      </w:r>
    </w:p>
    <w:p>
      <w:r>
        <w:rPr>
          <w:color w:val="555555"/>
          <w:sz w:val="18"/>
        </w:rPr>
        <w:t xml:space="preserve">Vermögensanlagen-Verkaufsprospektgebührenverordnung</w:t>
      </w:r>
    </w:p>
    <w:p>
      <w:r>
        <w:rPr>
          <w:color w:val="555555"/>
          <w:sz w:val="18"/>
        </w:rPr>
        <w:t xml:space="preserve">Historische Fassung: Stand 16.07.2020 bis 01.10.2021. Dies ist nicht die aktuelle Fassung.</w:t>
      </w:r>
    </w:p>
    <w:p>
      <w:r>
        <w:t xml:space="preserve">(Fundstelle: BGBl. I 2012, 1216 — 1217; bzgl. der einzelnen Änderungen vgl. Fußnote)</w:t>
      </w:r>
    </w:p>
    <w:p>
      <w:r>
        <w:rPr>
          <w:rFonts w:ascii="Courier New" w:hAnsi="Courier New"/>
          <w:sz w:val="17"/>
        </w:rPr>
        <w:t xml:space="preserve">Nr.    Gebührentatbestand    Gebühr in Euro</w:t>
      </w:r>
    </w:p>
    <w:p>
      <w:r>
        <w:rPr>
          <w:rFonts w:ascii="Courier New" w:hAnsi="Courier New"/>
          <w:sz w:val="17"/>
        </w:rPr>
        <w:t xml:space="preserve">1    Billigung und Aufbewahrung eines vollständigen Verkaufsprospekts (§ 8 Absatz 1 Satz 2 und Absatz 3 in Verbindung mit § 14 Absatz 2 Satz 2 VermAnlG)    1 500 bis 15 000</w:t>
      </w:r>
    </w:p>
    <w:p>
      <w:r>
        <w:rPr>
          <w:rFonts w:ascii="Courier New" w:hAnsi="Courier New"/>
          <w:sz w:val="17"/>
        </w:rPr>
        <w:t xml:space="preserve">2    Billigung und Aufbewahrung des Nachtrags gemäß § 11 VermAnlG (§ 11 Absatz 1 Satz 3 in Verbindung mit § 14 Absatz 2 Satz 2 VermAnlG)    1 185</w:t>
      </w:r>
    </w:p>
    <w:p>
      <w:r>
        <w:rPr>
          <w:rFonts w:ascii="Courier New" w:hAnsi="Courier New"/>
          <w:sz w:val="17"/>
        </w:rPr>
        <w:t xml:space="preserve">3    Aufbewahrung des Vermögensanlagen-Informationsblatts (§ 14 Absatz 1 Satz 2 in Verbindung mit Absatz 2 Satz 2 VermAnlG)    38</w:t>
      </w:r>
    </w:p>
    <w:p>
      <w:r>
        <w:rPr>
          <w:rFonts w:ascii="Courier New" w:hAnsi="Courier New"/>
          <w:sz w:val="17"/>
        </w:rPr>
        <w:t xml:space="preserve">4    Untersagung der Veröffentlichung eines Verkaufsprospekts bei Nichthinterlegung des Vermögensanlagen-Informationsblatts (§ 17 Absatz 2 in Verbindung mit § 14 Absatz 1 Satz 2 VermAnlG)    150</w:t>
      </w:r>
    </w:p>
    <w:p>
      <w:r>
        <w:rPr>
          <w:rFonts w:ascii="Courier New" w:hAnsi="Courier New"/>
          <w:sz w:val="17"/>
        </w:rPr>
        <w:t xml:space="preserve">5    Untersagung des öffentlichen Angebots von Vermögensanlagen (§ 18 Absatz 1 VermAnlG)    4 000</w:t>
      </w:r>
    </w:p>
    <w:p>
      <w:r>
        <w:rPr>
          <w:rFonts w:ascii="Courier New" w:hAnsi="Courier New"/>
          <w:sz w:val="17"/>
        </w:rPr>
        <w:t xml:space="preserve">6    Gestattung der Erstellung eines Verkaufsprospekts in einer in internationalen Finanzkreisen gebräuchlichen Sprache (§ 2 Absatz 1 Satz 4 VermVerkProspV)    100</w:t>
      </w:r>
    </w:p>
    <w:p>
      <w:r>
        <w:rPr>
          <w:rFonts w:ascii="Courier New" w:hAnsi="Courier New"/>
          <w:sz w:val="17"/>
        </w:rPr>
        <w:t xml:space="preserve">7    Untersagung von Werbung bei Vorliegen von Missständen (§ 16 Absatz 1 in Verbindung mit § 12 VermAnlG)    2 000</w:t>
      </w:r>
    </w:p>
    <w:p>
      <w:r>
        <w:rPr>
          <w:color w:val="555555"/>
          <w:sz w:val="17"/>
        </w:rPr>
        <w:t xml:space="preserve">Zitiervorschlag: Anlage VermVerkProspGebV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https://recht.nulegal.eu/gesetze/VermVerkProspGebV/anlage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