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VermVerkProspGebV — Anwendungsbereich</w:t>
      </w:r>
    </w:p>
    <w:p>
      <w:r>
        <w:rPr>
          <w:color w:val="555555"/>
          <w:sz w:val="18"/>
        </w:rPr>
        <w:t xml:space="preserve">Vermögensanlagen-Verkaufsprospektgebührenverordnung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Bundesanstalt für Finanzdienstleistungsaufsicht erhebt für individuell zurechenbare öffentliche Leistungen nach dem Vermögensanlagengesetz und nach den auf dem Vermögensanlagengesetz beruhenden Rechtsvorschriften, die Verkaufsprospekte für Vermögensanlagen betreffen, Gebühren nach dieser Verordnung; Auslagen werden nicht gesondert erhoben. Im Übrigen gilt das Bundesgebührengesetz.</w:t>
      </w:r>
    </w:p>
    <w:p>
      <w:r>
        <w:rPr>
          <w:color w:val="555555"/>
          <w:sz w:val="17"/>
        </w:rPr>
        <w:t xml:space="preserve">Zitiervorschlag: § 1 VermVerkProspGebV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