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VermVerMiV</w:t>
      </w:r>
    </w:p>
    <w:p>
      <w:r>
        <w:rPr>
          <w:color w:val="555555"/>
          <w:sz w:val="18"/>
        </w:rPr>
        <w:t xml:space="preserve">Vermögensanlagen-Veröffentlichungs- und Mitteilungspflichtenverordnung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11a Absatz 4 Satz 1 des Vermögensanlagengesetzes, der durch Artikel 2 Nummer 13 des Gesetzes vom 3. Juli 2015 (BGBl. I S. 1114) eingefügt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VermVerMiV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https://recht.nulegal.eu/gesetze/VermVerMiV/eingangsformel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