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VermVerMiV — Bekanntmachung der Tatsache durch die Bundesanstalt</w:t>
      </w:r>
    </w:p>
    <w:p>
      <w:r>
        <w:rPr>
          <w:color w:val="555555"/>
          <w:sz w:val="18"/>
        </w:rPr>
        <w:t xml:space="preserve">Vermögensanlagen-Veröffentlichungs- und Mitteilungspflichtenverordnung</w:t>
      </w:r>
    </w:p>
    <w:p>
      <w:r>
        <w:rPr>
          <w:color w:val="555555"/>
          <w:sz w:val="18"/>
        </w:rPr>
        <w:t xml:space="preserve">Stand: 14.09.2021 (konsolidierte Textfassung, kein amtliches Inkrafttretensdatum)</w:t>
      </w:r>
    </w:p>
    <w:p>
      <w:r>
        <w:t xml:space="preserve">(1) Die Mitteilung nach § 11a Absatz 2 Satz 1 des Gesetzes gilt bei der Bundesanstalt als ordnungsgemäß eingegangen, wenn</w:t>
      </w:r>
    </w:p>
    <w:p>
      <w:pPr>
        <w:ind w:left="420"/>
      </w:pPr>
      <w:r>
        <w:t xml:space="preserve">1. die vorgesehene Veröffentlichung die nach § 2 Satz 1 Nummer 1 bis 8 erforderlichen Angaben enthält,</w:t>
      </w:r>
    </w:p>
    <w:p>
      <w:pPr>
        <w:ind w:left="420"/>
      </w:pPr>
      <w:r>
        <w:t xml:space="preserve">2. im Falle einer Bevollmächtigung ein Nachweis der Vollmacht nach § 4 Absatz 2 übersandt wird und</w:t>
      </w:r>
    </w:p>
    <w:p>
      <w:pPr>
        <w:ind w:left="420"/>
      </w:pPr>
      <w:r>
        <w:t xml:space="preserve">3. die Mitteilung die nach § 4 Absatz 4 und 5 erforderlichen Angaben enthält.</w:t>
      </w:r>
    </w:p>
    <w:p>
      <w:r>
        <w:t xml:space="preserve">(2) Ist die Mitteilung nicht ordnungsgemäß eingegangen, teilt die Bundesanstalt dem Emittenten oder dem Bevollmächtigten diesen Umstand spätestens am dritten Arbeitstag nach Eingang mit.</w:t>
      </w:r>
    </w:p>
    <w:p>
      <w:r>
        <w:rPr>
          <w:color w:val="555555"/>
          <w:sz w:val="17"/>
        </w:rPr>
        <w:t xml:space="preserve">Zitiervorschlag: § 5 VermVerMiV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https://recht.nulegal.eu/gesetze/VermVerMiV/5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