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VermVerMiV — Anwendungsbereich</w:t>
      </w:r>
    </w:p>
    <w:p>
      <w:r>
        <w:rPr>
          <w:color w:val="555555"/>
          <w:sz w:val="18"/>
        </w:rPr>
        <w:t xml:space="preserve">Vermögensanlagen-Veröffentlichungs- und Mitteilungspflichtenverordnung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den Mindestinhalt, die Art, die Sprache, den Umfang und die Form</w:t>
      </w:r>
    </w:p>
    <w:p>
      <w:pPr>
        <w:ind w:left="420"/>
      </w:pPr>
      <w:r>
        <w:t xml:space="preserve">1. der Veröffentlichungen nach § 11a Absatz 3 Satz 1 des Gesetzes sowie</w:t>
      </w:r>
    </w:p>
    <w:p>
      <w:pPr>
        <w:ind w:left="420"/>
      </w:pPr>
      <w:r>
        <w:t xml:space="preserve">2. der Mitteilungen nach § 11a Absatz 2 Satz 1 und Absatz 3 Satz 2 des Gesetzes.</w:t>
      </w:r>
    </w:p>
    <w:p>
      <w:r>
        <w:rPr>
          <w:color w:val="555555"/>
          <w:sz w:val="17"/>
        </w:rPr>
        <w:t xml:space="preserve">Zitiervorschlag: § 1 VermVerMiV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https://recht.nulegal.eu/gesetze/VermVerMiV/1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