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VermVV</w:t>
      </w:r>
    </w:p>
    <w:p>
      <w:r>
        <w:rPr>
          <w:color w:val="555555"/>
          <w:sz w:val="18"/>
        </w:rPr>
        <w:t xml:space="preserve">Vermögensverzeichnisverordnung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802k Absatz 4 der Zivilprozessordnung, der durch Artikel 3 Nummer 4 Buchstabe b des Gesetzes vom 22. Dezember 2011 (BGBl. I S. 3044) geändert worden ist, verordnet das Bundesministerium der Justiz:</w:t>
      </w:r>
    </w:p>
    <w:p>
      <w:r>
        <w:rPr>
          <w:color w:val="555555"/>
          <w:sz w:val="17"/>
        </w:rPr>
        <w:t xml:space="preserve">Zitiervorschlag: Eingangsformel VermVV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https://recht.nulegal.eu/gesetze/VermVV/eingangsformel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