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VermVV — Registrierung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Registrierung der Errichtungsberechtigten für die Übermittlung der Vermögensverzeichnisse (§ 1 in Verbindung mit § 3 Absatz 1) dient deren Identifikation. Sie erfolgt in einem geeigneten Registrierungsverfahren durch das für den Sitz des Errichtungsberechtigten zuständige zentrale Vollstreckungsgericht oder über die nach § 802k Absatz 3 Satz 3 der Zivilprozessordnung beauftragte Stelle. Die Registrierung von Behörden ist im Weiteren so auszugestalten, dass feststellbar ist, welche natürliche Person gehandelt hat.</w:t>
      </w:r>
    </w:p>
    <w:p>
      <w:r>
        <w:t xml:space="preserve">(2) Absatz 1 gilt entsprechend für die Registrierung von Einsichtsberechtigten (§ 802k Absatz 2 der Zivilprozessordnung) für die zentrale und länderübergreifende Abfrage im Internet (§ 7 Absatz 1 Satz 1). Für die Übermittlung von Daten vom zentralen Vollstreckungsgericht an registrierte Einsichtsberechtigte gilt § 4 Absatz 2 entsprechend. Es ist sicherzustellen, dass das Registrierungsverfahren die Protokollierung der Abrufvorgänge nach § 7 Absatz 4 in einem bundeseinheitlichen Verfahren ermöglicht.</w:t>
      </w:r>
    </w:p>
    <w:p>
      <w:r>
        <w:t xml:space="preserve">(3) Für die Rücknahme und den Widerruf der Registrierung gelten § 48 Absatz 1 und 3 und § 49 Absatz 2 und 5 des Verwaltungsverfahrensgesetzes entsprechend. Zuständig ist das zentrale Vollstreckungsgericht, das die Registrierung vorgenommen hat.</w:t>
      </w:r>
    </w:p>
    <w:p>
      <w:r>
        <w:rPr>
          <w:color w:val="555555"/>
          <w:sz w:val="17"/>
        </w:rPr>
        <w:t xml:space="preserve">Zitiervorschlag: § 8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