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VermVV — Löschung der Vermögensverzeichnisse</w:t>
      </w:r>
    </w:p>
    <w:p>
      <w:r>
        <w:rPr>
          <w:color w:val="555555"/>
          <w:sz w:val="18"/>
        </w:rPr>
        <w:t xml:space="preserve">Vermögensverzeichnisverordnung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zentrale Vollstreckungsgericht löscht das hinterlegte Vermögensverzeichnis im Vermögensverzeichnisregister nach Ablauf von zwei Jahren ab Abgabe der Auskunft oder wenn ein neues Vermögensverzeichnis desselben Schuldners hinterlegt wird.</w:t>
      </w:r>
    </w:p>
    <w:p>
      <w:r>
        <w:t xml:space="preserve">(2) Im Fall des § 802d Absatz 1 Satz 1 der Zivilprozessordnung oder des § 284 Absatz 4 der Abgabenordnung oder der bundes- oder landesgesetzlichen Regelung, die § 284 Absatz 4 der Abgabenordnung gleichwertig ist, teilt der Einsender bei der Übermittlung nach § 4 Absatz 1 dem zuständigen zentralen Vollstreckungsgericht zugleich mit, dass es sich um eine erneute Vermögensauskunft nach diesen Vorschriften handelt.</w:t>
      </w:r>
    </w:p>
    <w:p>
      <w:r>
        <w:t xml:space="preserve">(3) Sobald ein neues Vermögensverzeichnis hinterlegt ist, benachrichtigt das zentrale Vollstreckungsgericht das zentrale Vollstreckungsgericht, bei dem ein älteres Vermögensverzeichnis verwaltet wird.</w:t>
      </w:r>
    </w:p>
    <w:p>
      <w:r>
        <w:rPr>
          <w:color w:val="555555"/>
          <w:sz w:val="17"/>
        </w:rPr>
        <w:t xml:space="preserve">Zitiervorschlag: § 6 VermVV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https://recht.nulegal.eu/gesetze/VermVV/6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