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VermVV — Hinterlegung der Vermögensverzeichnisse</w:t>
      </w:r>
    </w:p>
    <w:p>
      <w:r>
        <w:rPr>
          <w:color w:val="555555"/>
          <w:sz w:val="18"/>
        </w:rPr>
        <w:t xml:space="preserve">Vermögensverzeichnisverordnung</w:t>
      </w:r>
    </w:p>
    <w:p>
      <w:r>
        <w:rPr>
          <w:color w:val="555555"/>
          <w:sz w:val="18"/>
        </w:rPr>
        <w:t xml:space="preserve">Stand: 20.07.2024 (konsolidierte Textfassung, kein amtliches Inkrafttretensdatum)</w:t>
      </w:r>
    </w:p>
    <w:p>
      <w:r>
        <w:t xml:space="preserve">(1) Das zentrale Vollstreckungsgericht prüft, ob die elektronische Übermittlung der Vermögensverzeichnisse die Anforderungen des § 4 erfüllt.</w:t>
      </w:r>
    </w:p>
    <w:p>
      <w:r>
        <w:t xml:space="preserve">(2) Erfüllt die elektronische Übermittlung die Anforderungen des § 4, ist das Vermögensverzeichnis in das Vermögensverzeichnisregister einzutragen. Mit der Eintragung in das Vermögensverzeichnisregister ist das Vermögensverzeichnis hinterlegt im Sinne des § 802f Absatz 8 der Zivilprozessordnung oder des § 284 Absatz 7 Satz 4 der Abgabenordnung oder der bundes- oder landesgesetzlichen Regelung, die § 284 Absatz 7 Satz 4 der Abgabenordnung gleichwertig ist. Das zentrale Vollstreckungsgericht informiert den Einsender nach § 4 Absatz 1 Satz 1 unverzüglich über die Eintragung. Das vom Einsender errichtete elektronische Dokument nach § 3 ist drei Monate nach dem Eingang der Eintragungsinformation zu löschen.</w:t>
      </w:r>
    </w:p>
    <w:p>
      <w:r>
        <w:t xml:space="preserve">(3) Erfüllt die elektronische Übermittlung die Anforderungen des § 4 nicht, teilt das zentrale Vollstreckungsgericht dem Einsender dies unter Angabe der Gründe mit. Der Einsender veranlasst eine erneute elektronische Übermittlung des Vermögensverzeichnisses, die eine Eintragung der Daten nach Absatz 2 erlaubt. Mit Eingang der Information über die Eintragung des erneut elektronisch übermittelten Vermögensverzeichnisses ist das zuerst übermittelte elektronische Dokument beim Einsender zu löschen.</w:t>
      </w:r>
    </w:p>
    <w:p>
      <w:r>
        <w:t xml:space="preserve">(4) Der Einsender leitet dem Gläubiger nach der Hinterlegung unverzüglich einen Ausdruck des Vermögensverzeichnisses zu. Der Ausdruck muss den Vermerk, dass er mit dem Inhalt des Vermögensverzeichnisses übereinstimmt, und den Hinweis nach § 802d Absatz 1 Satz 3 der Zivilprozessordnung enthalten. Anstelle der Zuleitung eines Ausdrucks kann dem Gläubiger auf Antrag das Vermögensverzeichnis als elektronisches Dokument übermittelt werden, wenn dieses mit einer qualifizierten elektronischen Signatur versehen ist. § 4 Absatz 2 gilt entsprechend.</w:t>
      </w:r>
    </w:p>
    <w:p>
      <w:r>
        <w:rPr>
          <w:color w:val="555555"/>
          <w:sz w:val="17"/>
        </w:rPr>
        <w:t xml:space="preserve">Zitiervorschlag: § 5 VermVV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