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VermVV — Errichtung und Form der Vermögensverzeichnisse</w:t>
      </w:r>
    </w:p>
    <w:p>
      <w:r>
        <w:rPr>
          <w:color w:val="555555"/>
          <w:sz w:val="18"/>
        </w:rPr>
        <w:t xml:space="preserve">Vermögensverzeichnisverordnung</w:t>
      </w:r>
    </w:p>
    <w:p>
      <w:r>
        <w:rPr>
          <w:color w:val="555555"/>
          <w:sz w:val="18"/>
        </w:rPr>
        <w:t xml:space="preserve">Stand: 20.07.2024 (konsolidierte Textfassung, kein amtliches Inkrafttretensdatum)</w:t>
      </w:r>
    </w:p>
    <w:p>
      <w:r>
        <w:t xml:space="preserve">(1) Der Gerichtsvollzieher oder die Behörde, die zur Errichtung eines Vermögensverzeichnisses befugt ist, errichtet das Vermögensverzeichnis als elektronisches Dokument mit den nach § 802c der Zivilprozessordnung oder den nach § 284 Absatz 7 Satz 1 und Absatz 2 der Abgabenordnung erforderlichen Angaben. Anlagen, die vom Schuldner zur Ergänzung der Vermögensauskunft übergeben werden, sind dem Vermögensverzeichnis elektronisch nach § 4 Absatz 1 Satz 3 beizufügen.</w:t>
      </w:r>
    </w:p>
    <w:p>
      <w:r>
        <w:t xml:space="preserve">(2) Im Vermögensverzeichnis wird auch dokumentiert,</w:t>
      </w:r>
    </w:p>
    <w:p>
      <w:pPr>
        <w:ind w:left="420"/>
      </w:pPr>
      <w:r>
        <w:t xml:space="preserve">1. dass die Anforderungen des § 802f Absatz 7 Satz 2 und 3 der Zivilprozessordnung oder des § 284 Absatz 7 Satz 2 und 3 der Abgabenordnung oder der bundes- oder landesgesetzlichen Regelung, die § 284 Absatz 7 Satz 2 und 3 der Abgabenordnung gleichwertig ist, erfüllt sind,</w:t>
      </w:r>
    </w:p>
    <w:p>
      <w:pPr>
        <w:ind w:left="420"/>
      </w:pPr>
      <w:r>
        <w:t xml:space="preserve">2. wann die Versicherung an Eides statt nach § 802c Absatz 3 der Zivilprozessordnung oder nach § 284 Absatz 3 der Abgabenordnung oder nach der bundes- oder landesgesetzlichen Regelung, die § 284 Absatz 3 der Abgabenordnung gleichwertig ist, erfolgt ist sowie</w:t>
      </w:r>
    </w:p>
    <w:p>
      <w:pPr>
        <w:ind w:left="420"/>
      </w:pPr>
      <w:r>
        <w:t xml:space="preserve">3. an welchem Tag die Versicherung an Eides statt für das Vermögensverzeichnis erstmals erfolgt ist, wenn die Vermögensauskunft ergänzt oder nachgebessert worden ist.</w:t>
      </w:r>
    </w:p>
    <w:p>
      <w:r>
        <w:rPr>
          <w:color w:val="555555"/>
          <w:sz w:val="17"/>
        </w:rPr>
        <w:t xml:space="preserve">Zitiervorschlag: § 3 VermVV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https://recht.nulegal.eu/gesetze/VermVV/3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