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VermVV — Vermögensverzeichnisregister</w:t>
      </w:r>
    </w:p>
    <w:p>
      <w:r>
        <w:rPr>
          <w:color w:val="555555"/>
          <w:sz w:val="18"/>
        </w:rPr>
        <w:t xml:space="preserve">Vermögensverzeichnisverordnung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Vermögensverzeichnisse werden in jedem Land von einem zentralen Vollstreckungsgericht in elektronischer Form in einem Vermögensverzeichnisregister verwaltet.</w:t>
      </w:r>
    </w:p>
    <w:p>
      <w:r>
        <w:rPr>
          <w:color w:val="555555"/>
          <w:sz w:val="17"/>
        </w:rPr>
        <w:t xml:space="preserve">Zitiervorschlag: § 2 VermVV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