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VermKatG (Bayern) — Ordnungswidrigkeiten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Tat nicht nach anderen Vorschriften mit Strafe bedroht ist, kann</w:t>
      </w:r>
    </w:p>
    <w:p>
      <w:r>
        <w:t xml:space="preserve">1. mit Geldbuße bis zu fünfundzwanzigtausend Euro belegt werden, wer gewerbsmäßig unbefugt</w:t>
      </w:r>
    </w:p>
    <w:p>
      <w:r>
        <w:t xml:space="preserve">a) Ergebnisse der Landesvermessung vervielfältigt, verbreitet oder wiedergibt,</w:t>
      </w:r>
    </w:p>
    <w:p>
      <w:r>
        <w:t xml:space="preserve">b) Auszüge aus dem Liegenschaftskataster herstellt, vervielfältigt, verbreitet oder wiedergibt,</w:t>
      </w:r>
    </w:p>
    <w:p>
      <w:r>
        <w:t xml:space="preserve">2. mit Geldbuße belegt werden, wer unbefugt Vermessungszeichen, Beobachtungszeichen oder Beobachtungsgerüste beschädigt oder entfernt.</w:t>
      </w:r>
    </w:p>
    <w:p>
      <w:r>
        <w:t xml:space="preserve">(2) In den Fällen des Absatzes 1 Nr. 1 kann auf Einziehung der durch die Ordnungswidrigkeit gewonnenen oder erlangten Gegenstände erkannt werden.</w:t>
      </w:r>
    </w:p>
    <w:p>
      <w:r>
        <w:rPr>
          <w:color w:val="555555"/>
          <w:sz w:val="17"/>
        </w:rPr>
        <w:t xml:space="preserve">Zitiervorschlag: Art 15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