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14 VermKatG (Bayern) — Gebühren und Auslagen</w:t>
      </w:r>
    </w:p>
    <w:p>
      <w:r>
        <w:rPr>
          <w:color w:val="555555"/>
          <w:sz w:val="18"/>
        </w:rPr>
        <w:t xml:space="preserve">Vermessungs- und Katastergesetz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Für Tätigkeiten im Vollzug dieses Gesetzes gelten, soweit Gebühren und Auslagen erhoben werden, das Kostengesetz und die dazu erlassenen Rechtsverordnungen. Sondervorschriften bleiben unberührt.</w:t>
      </w:r>
    </w:p>
    <w:p>
      <w:r>
        <w:t xml:space="preserve">(2) Für die Vermessung und katastertechnische Behandlung der Gebäudeveränderungen sowie für die in Verbindung damit notwendig werdenden Grenzfeststellungen werden Gebühren und Auslagen erhoben. Schuldner ist, wer bei deren Fälligkeit Gebäudeeigentümer ist.</w:t>
      </w:r>
    </w:p>
    <w:p>
      <w:r>
        <w:t xml:space="preserve">(3) Für die Beurkundung oder Beglaubigung von Anträgen auf Vereinigung oder Teilung von Grundstücken gemäß Art. 9 werden Gebühren und Auslagen nicht erhoben.</w:t>
      </w:r>
    </w:p>
    <w:p>
      <w:r>
        <w:rPr>
          <w:color w:val="555555"/>
          <w:sz w:val="17"/>
        </w:rPr>
        <w:t xml:space="preserve">Zitiervorschlag: Art 14 VermKatG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https://recht.nulegal.eu/gesetze/VermKatG/14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