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VermGebO (Brandenburg) — Auslagen</w:t>
      </w:r>
    </w:p>
    <w:p>
      <w:r>
        <w:rPr>
          <w:color w:val="555555"/>
          <w:sz w:val="18"/>
        </w:rPr>
        <w:t xml:space="preserve">Vermessungsgebührenordnung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An Auslagen sind von der gebührenschuldenden Person zu erstatten:</w:t>
      </w:r>
    </w:p>
    <w:p>
      <w:r>
        <w:t xml:space="preserve">Aufwendungen für öffentliche Bekanntgaben, ortsübliche Bekanntmachungen (Offenlegungen) oder öffentliche Zustellungen,</w:t>
      </w:r>
    </w:p>
    <w:p>
      <w:r>
        <w:t xml:space="preserve">Aufwendungen, die in Verbindung mit der Amtshandlung für Auszüge oder Auskünfte an Dritte verauslagt wurden.</w:t>
      </w:r>
    </w:p>
    <w:p>
      <w:r>
        <w:t xml:space="preserve">(2) Alle weiteren Auslagen, die mit der Amtshandlung notwendig werden, sind mit der Gebühr abgegolten.</w:t>
      </w:r>
    </w:p>
    <w:p>
      <w:r>
        <w:t xml:space="preserve">(3) Wenn für eine Amtshandlung Gebührenfreiheit besteht, sind neben den in Absatz 1 auch die in § 9 des Gebührengesetzes für das Land Brandenburg aufgeführten Auslagen zu erstatten, soweit nichts anderes bestimmt ist.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VermGebO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https://recht.nulegal.eu/gesetze/VermGebO/7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