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VermGebO (Brandenburg) — Umsatzsteuer</w:t>
      </w:r>
    </w:p>
    <w:p>
      <w:r>
        <w:rPr>
          <w:color w:val="555555"/>
          <w:sz w:val="18"/>
        </w:rPr>
        <w:t xml:space="preserve">Vermessungsgebührenordnung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die Amtshandlung der Umsatzsteuer unterliegt, werden die Gebühren nach dieser Verordnung zuzüglich der gesetzlichen Umsatzsteuer erhoben.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VermGebO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https://recht.nulegal.eu/gesetze/VermGebO/2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