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VermGebO (Brandenburg) — Inkrafttreten, Außerkrafttreten</w:t>
      </w:r>
    </w:p>
    <w:p>
      <w:r>
        <w:rPr>
          <w:color w:val="555555"/>
          <w:sz w:val="18"/>
        </w:rPr>
        <w:t xml:space="preserve">Vermessungsgebührenordnung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Diese Verordnung tritt am 1. November 2019 in Kraft. Gleichzeitig tritt die Vermessungsgebührenordnung vom 16. September 2011 ( GVBl. II Nr. 55), die zuletzt durch die Verordnung vom 10. Mai 2017 (GVBl. II Nr. 28) geändert worden ist, außer Kraft.</w:t>
      </w:r>
    </w:p>
    <w:p>
      <w:r>
        <w:t xml:space="preserve">Einzelnorm</w:t>
      </w:r>
    </w:p>
    <w:p>
      <w:r>
        <w:t xml:space="preserve">Potsdam, den 14. Oktober 2019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rPr>
          <w:color w:val="555555"/>
          <w:sz w:val="17"/>
        </w:rPr>
        <w:t xml:space="preserve">Zitiervorschlag: § 10 VermGebO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https://recht.nulegal.eu/gesetze/VermGebO/10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