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VermGebO (Brandenburg) — Anwendungsbereich</w:t>
      </w:r>
    </w:p>
    <w:p>
      <w:r>
        <w:rPr>
          <w:color w:val="555555"/>
          <w:sz w:val="18"/>
        </w:rPr>
        <w:t xml:space="preserve">Vermessungsgebührenordnung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in der Anlage (Gebührentarif) aufgeführten öffentlichen Leistungen der Aufgabenträger des amtlichen Vermessungswesens sind Gebühren nach den dort genannten Gebührensätzen zu erheben.</w:t>
      </w:r>
    </w:p>
    <w:p>
      <w:r>
        <w:t xml:space="preserve">(2) Die Verordnung ist nicht anzuwenden für die Bereitstellung und Nutzung der Geobasisinformationen der Liegenschaften in digitaler Form mit Ausnahme von Auszügen im PDF -Format oder Bild-Format aus den Nachweisen des Liegenschaftskatasters.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VermGebO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https://recht.nulegal.eu/gesetze/VermGebO/1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