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VermGDV (Brandenburg) — Inkrafttreten, Außerkrafttreten</w:t>
      </w:r>
    </w:p>
    <w:p>
      <w:r>
        <w:rPr>
          <w:color w:val="555555"/>
          <w:sz w:val="18"/>
        </w:rPr>
        <w:t xml:space="preserve">Vermögensgesetzdurchführungsverordnung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2009 in Kraft. Gleichzeitig treten die Zweite Vermögensgesetzdurchführungsverordnung vom 20. September 2005 (GVBl. II S. 478), die zuletzt durch Artikel 2 der Verordnung vom 25. November 2008 (GVBl. II S. 470) geändert worden ist, und die Dritte Vermögensgesetzdurchführungsverordnung vom 25. November 2008 (GVBl. II S. 470) außer Kraft.</w:t>
      </w:r>
    </w:p>
    <w:p>
      <w:r>
        <w:t xml:space="preserve">Potsdam, den 11. Januar 2010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der Finanzen</w:t>
      </w:r>
    </w:p>
    <w:p>
      <w:r>
        <w:t xml:space="preserve">Dr. Helmuth Markov</w:t>
      </w:r>
    </w:p>
    <w:p>
      <w:r>
        <w:rPr>
          <w:color w:val="555555"/>
          <w:sz w:val="17"/>
        </w:rPr>
        <w:t xml:space="preserve">Zitiervorschlag: § 5 VermGDV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https://recht.nulegal.eu/gesetze/VermGDV/5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