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VermGDV (Brandenburg) — Ermächtigungsübertragung</w:t>
      </w:r>
    </w:p>
    <w:p>
      <w:r>
        <w:rPr>
          <w:color w:val="555555"/>
          <w:sz w:val="18"/>
        </w:rPr>
        <w:t xml:space="preserve">Vermögensgesetzdurchführungsverordnung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der Landesregierung nach § 23 Absatz 2 Satz 1 des Vermögensgesetzes, die Zuständigkeit für Verfahren nach dem Vermögensgesetz, dem Entschädigungsgesetz und dem Ausgleichsleistungsgesetz durch Rechtsverordnung zu regeln, wird auf das für Finanzen zuständige Mitglied der Landesregierung übertragen; die Verordnung ist im Einvernehmen mit dem für Inneres zuständigen Mitglied der Landesregierung zu erlassen.</w:t>
      </w:r>
    </w:p>
    <w:p>
      <w:r>
        <w:rPr>
          <w:color w:val="555555"/>
          <w:sz w:val="17"/>
        </w:rPr>
        <w:t xml:space="preserve">Zitiervorschlag: § 4 VermGDV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