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VermGDV (Brandenburg) — Sonderaufsicht</w:t>
      </w:r>
    </w:p>
    <w:p>
      <w:r>
        <w:rPr>
          <w:color w:val="555555"/>
          <w:sz w:val="18"/>
        </w:rPr>
        <w:t xml:space="preserve">Vermögensgesetzdurchführungsverordnung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Sonderaufsichtsbehörde ist das für Finanzen zuständige Ministerium.</w:t>
      </w:r>
    </w:p>
    <w:p>
      <w:r>
        <w:t xml:space="preserve">(2) Für den Inhalt der Sonderaufsicht gelten die §§ 121 und 131 der Kommunalverfassung des Landes Brandenburg entsprechend.</w:t>
      </w:r>
    </w:p>
    <w:p>
      <w:r>
        <w:rPr>
          <w:color w:val="555555"/>
          <w:sz w:val="17"/>
        </w:rPr>
        <w:t xml:space="preserve">Zitiervorschlag: § 3 VermGDV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https://recht.nulegal.eu/gesetze/VermGDV/3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