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28 VermG — Übergangsregelungen</w:t>
      </w:r>
    </w:p>
    <w:p>
      <w:r>
        <w:rPr>
          <w:color w:val="555555"/>
          <w:sz w:val="18"/>
        </w:rPr>
        <w:t xml:space="preserve">Vermögensgesetz</w:t>
      </w:r>
    </w:p>
    <w:p>
      <w:r>
        <w:rPr>
          <w:color w:val="555555"/>
          <w:sz w:val="18"/>
        </w:rPr>
        <w:t xml:space="preserve">Stand: 10.06.2019 (konsolidierte Textfassung, kein amtliches Inkrafttretensdatum)</w:t>
      </w:r>
    </w:p>
    <w:p>
      <w:r>
        <w:t xml:space="preserve">(1) Bis zur Errichtung der unteren Landesbehörden werden die Aufgaben dieses Gesetzes von den Landratsämtern oder Stadtverwaltungen der kreisfreien Städte wahrgenommen. Die auf der Grundlage der Anmeldeverordnung eingereichten Anmeldungen sind durch die Ämter zur Regelung offener Vermögensfragen nach deren Bildung von den Landratsämtern oder Stadtverwaltungen der kreisfreien Städte zur weiteren Bearbeitung zu übernehmen.</w:t>
      </w:r>
    </w:p>
    <w:p>
      <w:r>
        <w:t xml:space="preserve">(2) Die Länder können die Aufgaben der unteren Landesbehörden auch auf Dauer durch die Landratsämter oder die Stadtverwaltungen der kreisfreien Städte wahrnehmen lassen.</w:t>
      </w:r>
    </w:p>
    <w:p>
      <w:r>
        <w:rPr>
          <w:color w:val="555555"/>
          <w:sz w:val="17"/>
        </w:rPr>
        <w:t xml:space="preserve">Zitiervorschlag: § 28 VermG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https://recht.nulegal.eu/gesetze/VermG/28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