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VermG — Landesamt zur Regelung offener Vermögensfragen</w:t>
      </w:r>
    </w:p>
    <w:p>
      <w:r>
        <w:rPr>
          <w:color w:val="555555"/>
          <w:sz w:val="18"/>
        </w:rPr>
        <w:t xml:space="preserve">Vermögensgesetz</w:t>
      </w:r>
    </w:p>
    <w:p>
      <w:r>
        <w:rPr>
          <w:color w:val="555555"/>
          <w:sz w:val="18"/>
        </w:rPr>
        <w:t xml:space="preserve">Stand: 10.06.2019 (konsolidierte Textfassung, kein amtliches Inkrafttretensdatum)</w:t>
      </w:r>
    </w:p>
    <w:p>
      <w:r>
        <w:t xml:space="preserve">(1) Für jedes Land wird ein Landesamt zur Regelung offener Vermögensfragen gebildet. Für Entscheidungen über Anträge nach den §§ 6, 6a, 6b und über Grund und Höhe der Entschädigung nach § 6 Abs. 7 ist das Landesamt zuständig. Das Landesamt kann Verfahren, die bei einem ihm nachgeordneten Amt zur Regelung offener Vermögensfragen anhängig sind, an sich ziehen. Es teilt dies dem Amt mit, das mit Zugang der Mitteilung für das Verfahren nicht mehr zuständig ist und vorhandene Vorgänge an das Landesamt abgibt. Nach Satz 2 oder nach Satz 3 zuständige Landesämter können bei Sachzusammenhang vereinbaren, dass die Verfahren bei einem Landesamt zusammengefasst und von diesem entschieden werden.</w:t>
      </w:r>
    </w:p>
    <w:p>
      <w:r>
        <w:t xml:space="preserve">(2) Die Landesregierungen werden ermächtigt, die Zuständigkeit nach Absatz 1 durch Rechtsverordnung auf das jeweils örtlich zuständige Amt zur Regelung offener Vermögensfragen für die Fälle zu übertragen, in denen das zurückzugebende Unternehmen im Zeitpunkt der Schädigung nach Art und Umfang einen in kaufmännischer Weise eingerichteten Geschäftsbetrieb nicht erforderte oder den Betrieb eines handwerklichen oder sonstigen gewerblichen Unternehmens oder den der Land- und Forstwirtschaft zum Gegenstand hatte.</w:t>
      </w:r>
    </w:p>
    <w:p>
      <w:r>
        <w:rPr>
          <w:color w:val="555555"/>
          <w:sz w:val="17"/>
        </w:rPr>
        <w:t xml:space="preserve">Zitiervorschlag: § 25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