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VermG — Untere Landesbehörden</w:t>
      </w:r>
    </w:p>
    <w:p>
      <w:r>
        <w:rPr>
          <w:color w:val="555555"/>
          <w:sz w:val="18"/>
        </w:rPr>
        <w:t xml:space="preserve">Vermögensgesetz</w:t>
      </w:r>
    </w:p>
    <w:p>
      <w:r>
        <w:rPr>
          <w:color w:val="555555"/>
          <w:sz w:val="18"/>
        </w:rPr>
        <w:t xml:space="preserve">Stand: 10.06.2019 (konsolidierte Textfassung, kein amtliches Inkrafttretensdatum)</w:t>
      </w:r>
    </w:p>
    <w:p>
      <w:r>
        <w:t xml:space="preserve">Für jeden Landkreis, jede kreisfreie Stadt und für Berlin wird ein Amt zur Regelung offener Vermögensfragen als untere Landesbehörde eingerichtet. Ein solches Amt kann auch für mehrere Kreise, kreisfreie Städte oder mit landesweiter Zuständigkeit gebildet werden. Die gilt auch dann, wenn die Aufgaben der unteren Landesbehörden nach § 28 Abs. 2 auf die Landkreise oder kreisfreien Städte übertragen wurden.</w:t>
      </w:r>
    </w:p>
    <w:p>
      <w:r>
        <w:rPr>
          <w:color w:val="555555"/>
          <w:sz w:val="17"/>
        </w:rPr>
        <w:t xml:space="preserve">Zitiervorschlag: § 24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