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VermG — Begriffsbestimmung</w:t>
      </w:r>
    </w:p>
    <w:p>
      <w:r>
        <w:rPr>
          <w:color w:val="555555"/>
          <w:sz w:val="18"/>
        </w:rPr>
        <w:t xml:space="preserve">Vermögensgesetz</w:t>
      </w:r>
    </w:p>
    <w:p>
      <w:r>
        <w:rPr>
          <w:color w:val="555555"/>
          <w:sz w:val="18"/>
        </w:rPr>
        <w:t xml:space="preserve">Stand: 10.06.2019 (konsolidierte Textfassung, kein amtliches Inkrafttretensdatum)</w:t>
      </w:r>
    </w:p>
    <w:p>
      <w:r>
        <w:t xml:space="preserve">(1) Berechtigte im Sinne dieses Gesetzes sind natürliche und juristische Personen sowie Personenhandelsgesellschaften, deren Vermögenswerte von Maßnahmen gemäß § 1 betroffen sind, sowie ihre Rechtsnachfolger. Rechtsnachfolger einer jüdischen juristischen Person oder nicht rechtsfähigen jüdischen Personenvereinigung ist in den Fällen des § 1 Abs. 6 auch, wer auf Grund des Befehls Nr. 82 des Obersten Chefs der sowjetischen Militärverwaltung vom 29. April 1948 (Regierungsblatt für Mecklenburg S. 76) Eigentum an dem entzogenen Vermögenswert erlangt und dieses bis zum 2. Oktober 1990 innegehalten hat. Soweit Ansprüche von jüdischen Berechtigten im Sinne des § 1 Abs. 6 oder deren Rechtsnachfolgern nicht geltend gemacht werden, gelten in Ansehung der Ansprüche nach dem Vermögensgesetz die Nachfolgeorganisationen des Rückerstattungsrechts und, soweit diese keine Ansprüche anmelden, die Conference on Jewish Material Claims against Germany, Inc. als Rechtsnachfolger. Dasselbe gilt, soweit der Staat Erbe oder Erbeserbe eines jüdischen Verfolgten im Sinne des § 1 Abs. 6 ist oder soweit eine jüdische juristische Person oder eine nicht rechtsfähige jüdische Personenvereinigung aus den Gründen des § 1 Abs. 6 aufgelöst oder zur Selbstauflösung gezwungen wurde. Im Übrigen gelten in den Fällen des § 1 Abs. 6 als Rechtsnachfolger von aufgelösten oder zur Selbstauflösung gezwungenen Vereinigungen die Nachfolgeorganisationen, die diesen Vereinigungen nach ihren Organisationsstatuten entsprechen und deren Funktionen oder Aufgaben wahrnehmen oder deren satzungsmäßige Zwecke verfolgen; als Rechtsnachfolger gelten insbesondere die Organisationen, die auf Grund des Rückerstattungsrechts als Nachfolgeorganisationen anerkannt worden sind.</w:t>
      </w:r>
    </w:p>
    <w:p>
      <w:r>
        <w:t xml:space="preserve">(1a) Die Conference on Jewish Material Claims against Germany, Inc. kann ihre Rechte auf die Conference on Jewish Material Claims against Germany GmbH übertragen. Die Übertragung bedarf der Schriftform. § 4 Abs. 5 des Investitionsvorranggesetzes findet keine Anwendung. Satz 3 gilt auch, wenn ein Berechtigter seine Ansprüche unmittelbar oder mittelbar unter Beachtung von § 3 Abs. 1 Satz 2 auf eine ihm nahe stehende juristische Person übertragen hat, deren Aufgabe die Durchsetzung vermögensrechtlicher Ansprüche ist und die dabei die wirtschaftlichen Interessen der Geschädigten und ihrer Rechtsnachfolger verfolgt; dies gilt nicht, wenn in dem Verfahren nach dem Investitionsvorranggesetz die letzte Verwaltungsentscheidung vor dem 8. November 2000 erlassen worden ist.</w:t>
      </w:r>
    </w:p>
    <w:p>
      <w:r>
        <w:t xml:space="preserve">(2) Vermögenswerte im Sinne dieses Gesetzes sind bebaute und unbebaute Grundstücke sowie rechtlich selbständige Gebäude und Baulichkeiten (im folgenden Grundstücke und Gebäude genannt), Nutzungsrechte und dingliche Rechte an Grundstücken oder Gebäuden, bewegliche Sachen sowie gewerbliche Schutzrechte, Urheberrechte und verwandte Schutzrechte. Vermögenswerte im Sinne dieses Gesetzes sind auch Kontoguthaben und sonstige auf Geldzahlungen gerichtete Forderungen sowie Eigentum/Beteiligungen an Unternehmen oder an Betriebsstätten/Zweigniederlassungen von Unternehmen mit Sitz außerhalb der Deutschen Demokratischen Republik.</w:t>
      </w:r>
    </w:p>
    <w:p>
      <w:r>
        <w:t xml:space="preserve">(3) Verfügungsberechtigter im Sinne dieses Gesetzes ist bei der Rückgabe von Unternehmen derjenige, in dessen Eigentum oder Verfügungsmacht das entzogene Unternehmen ganz oder teilweise steht, sowie bei Kapitalgesellschaften deren unmittelbare oder mittelbare Anteilseigner und bei der Rückübertragung von anderen Vermögenswerten diejenige Person, in deren Eigentum oder Verfügungsmacht der Vermögenswert steht. Als Verfügungsberechtigter gilt auch der staatliche Verwalter. Stehen der Treuhandanstalt die Anteilsrechte an Verfügungsberechtigten nach Satz 1 unmittelbar oder mittelbar allein zu, so vertritt sie diese allein. Die Bundesanstalt für vereinigungsbedingte Sonderaufgaben oder ein Rechtsnachfolger der Treuhandanstalt nach § 23a Abs. 3 des Treuhandgesetzes können ihre Verfügungsberechtigung nach Satz 1 sowie die Alleinvertretungsbefugnis nach Satz 3 durch Vereinbarung auf eine Kapitalgesellschaft übertragen, an der ihr, ihm oder der Bundesrepublik Deutschland die Anteilsrechte unmittelbar oder mittelbar allein zustehen. Mit der Übertragung der Verfügungsberechtigung übernimmt die Kapitalgesellschaft die durch dieses Gesetz begründeten Rechte und Pflichten des in Satz 4 genannten Verfügungsberechtigten.</w:t>
      </w:r>
    </w:p>
    <w:p>
      <w:r>
        <w:t xml:space="preserve">(4) Unter Schädigung im Sinne dieses Gesetzes ist jede Maßnahme gemäß § 1 zu verstehen.</w:t>
      </w:r>
    </w:p>
    <w:p>
      <w:r>
        <w:rPr>
          <w:color w:val="555555"/>
          <w:sz w:val="17"/>
        </w:rPr>
        <w:t xml:space="preserve">Zitiervorschlag: § 2 VermG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