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VermG — Rückübertragung des Grundstücks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Eigentum an dem Grundstück geht auf den Berechtigten über, wenn die Entscheidung über die Rückübertragung unanfechtbar geworden ist und</w:t>
      </w:r>
    </w:p>
    <w:p>
      <w:pPr>
        <w:ind w:left="420"/>
      </w:pPr>
      <w:r>
        <w:t xml:space="preserve">1. der Ablösebetrag bei der Hinterlegungsstelle, in deren Bezirk das entscheidende Amt zur Regelung offener Vermögensfragen seinen Sitz hat, unter Verzicht auf die Rücknahme hinterlegt oder</w:t>
      </w:r>
    </w:p>
    <w:p>
      <w:pPr>
        <w:ind w:left="420"/>
      </w:pPr>
      <w:r>
        <w:t xml:space="preserve">2. in den Fällen des § 18 Abs. 7 der Begünstigte befriedigt worden ist oder</w:t>
      </w:r>
    </w:p>
    <w:p>
      <w:pPr>
        <w:ind w:left="420"/>
      </w:pPr>
      <w:r>
        <w:t xml:space="preserve">3. der Berechtigte für den Ablösebetrag Sicherheit nach den Vorschriften des 2. Abschnitts der Hypothekenablöseverordnung geleistet hat. § 34 Abs. 1 Satz 3 bis 6 gilt mit der Maßgabe entsprechend, dass die Behörde auch Sicherungshypotheken in Höhe der nach § 18 Abs. 1 Satz 2 auszuweisenden Einzelbeträge begründen kann, deren Rangfolge sich nach der ursprünglichen Rangfolge der einzelnen untergegangenen dinglichen Rechte zum Zeitpunkt der Schädigung richtet; daran können sich Sicherungshypotheken für Ansprüche nach § 7 Abs. 1 und § 7a Abs. 2 anschließen.</w:t>
      </w:r>
    </w:p>
    <w:p>
      <w:r>
        <w:rPr>
          <w:color w:val="555555"/>
          <w:sz w:val="17"/>
        </w:rPr>
        <w:t xml:space="preserve">Zitiervorschlag: § 18a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