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VermG — Befugnisse des staatlichen Verwalters</w:t>
      </w:r>
    </w:p>
    <w:p>
      <w:r>
        <w:rPr>
          <w:color w:val="555555"/>
          <w:sz w:val="18"/>
        </w:rPr>
        <w:t xml:space="preserve">Vermögensgesetz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Bis zur Aufhebung der staatlichen Verwaltung ist die Sicherung und ordnungsgemäße Verwaltung des Vermögenswertes durch den staatlichen Verwalter wahrzunehmen.</w:t>
      </w:r>
    </w:p>
    <w:p>
      <w:r>
        <w:t xml:space="preserve">(2) Der staatliche Verwalter ist bis zur Aufhebung der staatlichen Verwaltung nicht berechtigt, ohne Zustimmung des Eigentümers langfristige vertragliche Verpflichtungen einzugehen oder dingliche Rechtsgeschäfte abzuschließen. § 3 Abs. 3 Satz 2 und 3 gilt entsprechend.</w:t>
      </w:r>
    </w:p>
    <w:p>
      <w:r>
        <w:t xml:space="preserve">(3) Die Beschränkung gemäß Absatz 2 entfällt nach Ablauf der Anmeldefrist (§ 3 der Anmeldeverordnung), solange der Eigentümer seinen Anspruch auf den staatlich verwalteten Vermögenswert nicht angemeldet hat.</w:t>
      </w:r>
    </w:p>
    <w:p>
      <w:r>
        <w:t xml:space="preserve">(4) Der staatliche Verwalter hat sich vor einer Verfügung zu vergewissern, dass keine Anmeldung im Sinne des Absatzes 3 vorliegt.</w:t>
      </w:r>
    </w:p>
    <w:p>
      <w:r>
        <w:rPr>
          <w:color w:val="555555"/>
          <w:sz w:val="17"/>
        </w:rPr>
        <w:t xml:space="preserve">Zitiervorschlag: § 15 VermG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https://recht.nulegal.eu/gesetze/VermG/15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