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VermG — Haftung des staatlichen Verwalters</w:t>
      </w:r>
    </w:p>
    <w:p>
      <w:r>
        <w:rPr>
          <w:color w:val="555555"/>
          <w:sz w:val="18"/>
        </w:rPr>
        <w:t xml:space="preserve">Vermögensgesetz</w:t>
      </w:r>
    </w:p>
    <w:p>
      <w:r>
        <w:rPr>
          <w:color w:val="555555"/>
          <w:sz w:val="18"/>
        </w:rPr>
        <w:t xml:space="preserve">Stand: 10.06.2019 (konsolidierte Textfassung, kein amtliches Inkrafttretensdatum)</w:t>
      </w:r>
    </w:p>
    <w:p>
      <w:r>
        <w:t xml:space="preserve">(1) Ist dem Berechtigten des staatlich verwalteten Vermögenswertes durch eine gröbliche Verletzung der Pflichten, die sich aus einer ordnungsgemäßen Wirtschaftsführung ergeben, durch den staatlichen Verwalter oder infolge Verletzung anderer dem staatlichen Verwalter obliegenden Pflichten während der Zeit der staatlichen Verwaltung rechtswidrig ein materieller Nachteil entstanden, ist ihm dieser Schaden zu ersetzen.</w:t>
      </w:r>
    </w:p>
    <w:p>
      <w:r>
        <w:t xml:space="preserve">(2) Der Schadensersatz ist auf der Grundlage der gesetzlichen Regelungen der Staatshaftung festzustellen und aus dem Entschädigungsfonds zu zahlen.</w:t>
      </w:r>
    </w:p>
    <w:p>
      <w:r>
        <w:t xml:space="preserve">(3) Dem Entschädigungsfonds steht gegenüber dem staatlichen Verwalter oder der ihm übergeordneten Kommunalverwaltung ein Ausgleichsanspruch zu.</w:t>
      </w:r>
    </w:p>
    <w:p>
      <w:r>
        <w:rPr>
          <w:color w:val="555555"/>
          <w:sz w:val="17"/>
        </w:rPr>
        <w:t xml:space="preserve">Zitiervorschlag: § 13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