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11c VermG — Genehmigungsvorbehalt</w:t>
      </w:r>
    </w:p>
    <w:p>
      <w:r>
        <w:rPr>
          <w:color w:val="555555"/>
          <w:sz w:val="18"/>
        </w:rPr>
        <w:t xml:space="preserve">Vermögensgesetz</w:t>
      </w:r>
    </w:p>
    <w:p>
      <w:r>
        <w:rPr>
          <w:color w:val="555555"/>
          <w:sz w:val="18"/>
        </w:rPr>
        <w:t xml:space="preserve">Stand: 10.06.2019 (konsolidierte Textfassung, kein amtliches Inkrafttretensdatum)</w:t>
      </w:r>
    </w:p>
    <w:p>
      <w:r>
        <w:t xml:space="preserve">Über Vermögenswerte, die Gegenstand der in § 1 Abs. 8 Buchstabe b bezeichneten Vereinbarungen sind, darf nur mit Zustimmung des Bundesamtes für zentrale Dienste und offene Vermögensfragen verfügt werden. Für Grundstücke, Gebäude und Grundpfandrechte gilt dies nur, wenn im Grundbuch ein Zustimmungsvorbehalt unter Angabe dieser Vorschrift eingetragen ist. Das Grundbuchamt trägt den Zustimmungsvorbehalt nur auf Ersuchen des Bundesamtes für zentrale Dienste und offene Vermögensfragen ein. Gegen das Ersuchen können der eingetragene Eigentümer oder seine Erben Widerspruch erheben, der nur darauf gestützt werden kann, dass die Voraussetzungen des Satzes 1 nicht vorliegen. In Fällen, in denen nach Artikel 3 Abs. 9 Satz 2 des Abkommens vom 13. Mai 1992 zwischen der Regierung der Bundesrepublik Deutschland und der Regierung der Vereinigten Staaten von Amerika über die Regelung bestimmter Vermögensansprüche in Verbindung mit Artikel 1 des Gesetzes zu diesem Abkommen vom 21. Dezember 1992 (BGBl. 1992 II S. 1222) der Rechtstitel auf den Bund übergeht und gleichzeitig die staatliche Verwaltung endet, gelten die vorstehenden Vorschriften entsprechend mit der Maßgabe, dass an die Stelle des Bundesamtes für zentrale Dienste und offene Vermögensfragen die für die Verwaltung des betreffenden Vermögensgegenstandes zuständige Bundesbehörde tritt.</w:t>
      </w:r>
    </w:p>
    <w:p>
      <w:r>
        <w:rPr>
          <w:color w:val="555555"/>
          <w:sz w:val="17"/>
        </w:rPr>
        <w:t xml:space="preserve">Zitiervorschlag: § 11c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