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VermBG 2 — Kapitalversicherungsvertrag</w:t>
      </w:r>
    </w:p>
    <w:p>
      <w:r>
        <w:rPr>
          <w:color w:val="555555"/>
          <w:sz w:val="18"/>
        </w:rPr>
        <w:t xml:space="preserve">Fünftes Vermögensbildungsgesetz</w:t>
      </w:r>
    </w:p>
    <w:p>
      <w:r>
        <w:rPr>
          <w:color w:val="555555"/>
          <w:sz w:val="18"/>
        </w:rPr>
        <w:t xml:space="preserve">Stand: 10.06.2019 (konsolidierte Textfassung, kein amtliches Inkrafttretensdatum)</w:t>
      </w:r>
    </w:p>
    <w:p>
      <w:r>
        <w:t xml:space="preserve">(1) Ein Kapitalversicherungsvertrag im Sinne des § 2 Abs. 1 Nr. 7 ist ein Vertrag über eine Kapitalversicherung auf den Erlebens- und Todesfall gegen laufenden Beitrag, der für die Dauer von mindestens zwölf Jahren und mit den in den Absätzen 2 bis 5 bezeichneten Vereinbarungen zwischen dem Arbeitnehmer und einem Versicherungsunternehmen abgeschlossen ist, das im Geltungsbereich dieses Gesetzes zum Geschäftsbetrieb befugt ist.</w:t>
      </w:r>
    </w:p>
    <w:p>
      <w:r>
        <w:t xml:space="preserve">(2) Der Arbeitnehmer ist verpflichtet, als Versicherungsbeiträge vermögenswirksame Leistungen einzahlen zu lassen oder andere Beträge einzuzahlen.</w:t>
      </w:r>
    </w:p>
    <w:p>
      <w:r>
        <w:t xml:space="preserve">(3) Die Versicherungsbeiträge enthalten keine Anteile für Zusatzleistungen wie für Unfall, Invalidität oder Krankheit.</w:t>
      </w:r>
    </w:p>
    <w:p>
      <w:r>
        <w:t xml:space="preserve">(4) Der Versicherungsvertrag sieht vor, daß bereits ab Vertragsbeginn ein nicht kürzbarer Anteil von mindestens 50 Prozent des gezahlten Beitrags als Rückkaufswert (§ 169 des Versicherungsvertragsgesetzes) erstattet oder der Berechnung der prämienfreien Versicherungsleistung (§ 165 des Versicherungsvertragsgesetzes) zugrunde gelegt wird.</w:t>
      </w:r>
    </w:p>
    <w:p>
      <w:r>
        <w:t xml:space="preserve">(5) Die Gewinnanteile werden verwendet</w:t>
      </w:r>
    </w:p>
    <w:p>
      <w:pPr>
        <w:ind w:left="420"/>
      </w:pPr>
      <w:r>
        <w:t xml:space="preserve">1. zur Erhöhung der Versicherungsleistung oder</w:t>
      </w:r>
    </w:p>
    <w:p>
      <w:pPr>
        <w:ind w:left="420"/>
      </w:pPr>
      <w:r>
        <w:t xml:space="preserve">2. auf Verlangen des Arbeitnehmers zur Verrechnung mit fälligen Beiträgen, wenn er nach Vertragsabschluß arbeitslos geworden ist und die Arbeitslosigkeit mindestens ein Jahr lang ununterbrochen bestanden hat und im Zeitpunkt der Verrechnung noch besteht.</w:t>
      </w:r>
    </w:p>
    <w:p>
      <w:r>
        <w:rPr>
          <w:color w:val="555555"/>
          <w:sz w:val="17"/>
        </w:rPr>
        <w:t xml:space="preserve">Zitiervorschlag: § 9 VermBG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https://recht.nulegal.eu/gesetze/VermBG%202/9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