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VermBG 2 — Sparvertrag</w:t>
      </w:r>
    </w:p>
    <w:p>
      <w:r>
        <w:rPr>
          <w:color w:val="555555"/>
          <w:sz w:val="18"/>
        </w:rPr>
        <w:t xml:space="preserve">Fünftes Vermögensbildungsgesetz</w:t>
      </w:r>
    </w:p>
    <w:p>
      <w:r>
        <w:rPr>
          <w:color w:val="555555"/>
          <w:sz w:val="18"/>
        </w:rPr>
        <w:t xml:space="preserve">Stand: 10.06.2019 (konsolidierte Textfassung, kein amtliches Inkrafttretensdatum)</w:t>
      </w:r>
    </w:p>
    <w:p>
      <w:r>
        <w:t xml:space="preserve">(1) Ein Sparvertrag im Sinne des § 2 Abs. 1 Nr. 6 ist ein Sparvertrag zwischen dem Arbeitnehmer und einem Kreditinstitut, in dem die in den Absätzen 2 bis 5 bezeichneten Vereinbarungen, mindestens aber die in den Absätzen 2 und 3 bezeichneten Vereinbarungen, getroffen sind.</w:t>
      </w:r>
    </w:p>
    <w:p>
      <w:r>
        <w:t xml:space="preserve">(2) Der Arbeitnehmer ist verpflichtet,</w:t>
      </w:r>
    </w:p>
    <w:p>
      <w:pPr>
        <w:ind w:left="420"/>
      </w:pPr>
      <w:r>
        <w:t xml:space="preserve">1. einmalig oder für die Dauer von sechs Jahren seit Vertragsabschluß laufend, mindestens aber einmal im Kalenderjahr, als Sparbeiträge vermögenswirksame Leistungen einzahlen zu lassen oder andere Beträge einzuzahlen und</w:t>
      </w:r>
    </w:p>
    <w:p>
      <w:pPr>
        <w:ind w:left="420"/>
      </w:pPr>
      <w:r>
        <w:t xml:space="preserve">2. bis zum Ablauf einer Frist von sieben Jahren (Sperrfrist) die eingezahlten vermögenswirksamen Leistungen bei dem Kreditinstitut festzulegen und die Rückzahlungsansprüche aus dem Vertrag weder abzutreten noch zu beleihen.</w:t>
      </w:r>
    </w:p>
    <w:p>
      <w:r>
        <w:t xml:space="preserve">Der Zeitpunkt des Vertragsabschlusses und der Beginn der Sperrfrist bestimmen sich nach den Regelungen des § 4 Abs. 2 Satz 2 und 3.</w:t>
      </w:r>
    </w:p>
    <w:p>
      <w:r>
        <w:t xml:space="preserve">(3) Der Arbeitnehmer ist abweichend von der in Absatz 2 Satz 1 Nr. 2 bezeichneten Vereinbarung zu vorzeitiger Verfügung berechtigt, wenn eine der in § 4 Abs. 4 Nr. 1 bis 5 bezeichneten Voraussetzungen erfüllt ist.</w:t>
      </w:r>
    </w:p>
    <w:p>
      <w:r>
        <w:t xml:space="preserve">(4) Der Arbeitnehmer ist abweichend von der in Absatz 2 Satz 1 Nr. 2 bezeichneten Vereinbarung auch berechtigt, vor Ablauf der Sperrfrist mit eingezahlten vermögenswirksamen Leistungen zu erwerben</w:t>
      </w:r>
    </w:p>
    <w:p>
      <w:pPr>
        <w:ind w:left="420"/>
      </w:pPr>
      <w:r>
        <w:t xml:space="preserve">1. Wertpapiere im Sinne des § 2 Abs. 1 Nr. 1 Buchstabe a bis f, Abs. 2 Satz 1, Abs. 3 und 4,</w:t>
      </w:r>
    </w:p>
    <w:p>
      <w:pPr>
        <w:ind w:left="420"/>
      </w:pPr>
      <w:r>
        <w:t xml:space="preserve">2. Schuldverschreibungen, die vom Bund, von den Ländern, von den Gemeinden, von anderen Körperschaften des öffentlichen Rechts, vom Arbeitgeber, von einem im Sinne des § 18 Abs. 1 des Aktiengesetzes als herrschendes Unternehmen mit dem Unternehmen des Arbeitgebers verbundenen Unternehmen oder von einem Kreditinstitut mit Sitz und Geschäftsleitung im Geltungsbereich dieses Gesetzes ausgegeben werden, Namensschuldverschreibungen des Arbeitgebers jedoch nur dann, wenn auf dessen Kosten die Ansprüche des Arbeitnehmers aus der Schuldverschreibung durch ein Kreditinstitut verbürgt oder durch ein Versicherungsunternehmen privatrechtlich gesichert sind und das Kreditinstitut oder Versicherungsunternehmen im Geltungsbereich dieses Gesetzes zum Geschäftsbetrieb befugt ist,</w:t>
      </w:r>
    </w:p>
    <w:p>
      <w:pPr>
        <w:ind w:left="420"/>
      </w:pPr>
      <w:r>
        <w:t xml:space="preserve">3. Genußscheine, die von einem Kreditinstitut mit Sitz und Geschäftsleitung im Geltungsbereich dieses Gesetzes, das nicht der Arbeitgeber ist, als Wertpapiere ausgegeben werden, wenn mit den Genußscheinen das Recht am Gewinn des Kreditinstituts verbunden ist, der Arbeitnehmer nicht als Mitunternehmer im Sinne des § 15 Abs. 1 Nr. 2 des Einkommensteuergesetzes anzusehen ist und die Voraussetzungen des § 2 Abs. 4 erfüllt sind,</w:t>
      </w:r>
    </w:p>
    <w:p>
      <w:pPr>
        <w:ind w:left="420"/>
      </w:pPr>
      <w:r>
        <w:t xml:space="preserve">4. Anleiheforderungen, die in ein Schuldbuch des Bundes oder eines Landes eingetragen werden,</w:t>
      </w:r>
    </w:p>
    <w:p>
      <w:pPr>
        <w:ind w:left="420"/>
      </w:pPr>
      <w:r>
        <w:t xml:space="preserve">5. Anteile an einem Sondervermögen, die von Kapitalverwaltungsgesellschaften im Sinne des Kapitalanlagegesetzbuchs ausgegeben werden und nicht unter § 2 Abs. 1 Nr. 1 Buchstabe c fallen, oder</w:t>
      </w:r>
    </w:p>
    <w:p>
      <w:pPr>
        <w:ind w:left="420"/>
      </w:pPr>
      <w:r>
        <w:t xml:space="preserve">6. Anteile an offenen EU-Investmentvermögen und ausländischen AIF, die nach dem Kapitalanlagegesetzbuch vertrieben werden dürfen.</w:t>
      </w:r>
    </w:p>
    <w:p>
      <w:r>
        <w:t xml:space="preserve">Der Arbeitnehmer ist verpflichtet, bis zum Ablauf der Sperrfrist die nach Satz 1 erworbenen Wertpapiere bei dem Kreditinstitut, mit dem der Sparvertrag abgeschlossen ist, festzulegen und über die Wertpapiere nicht zu verfügen; diese Verpflichtung besteht nicht, wenn eine der in § 4 Abs. 4 Nr. 1 bis 5 bezeichneten Voraussetzungen erfüllt ist.</w:t>
      </w:r>
    </w:p>
    <w:p>
      <w:r>
        <w:t xml:space="preserve">(5) Der Arbeitnehmer ist abweichend von der in Absatz 2 Satz 1 Nummer 2 bezeichneten Vereinbarung auch berechtigt, vor Ablauf der Sperrfrist die Überweisung eingezahlter vermögenswirksamer Leistungen auf einen von ihm oder seinem nicht dauernd getrennt lebenden Ehegatten oder Lebenspartner abgeschlossenen Bausparvertrag zu verlangen, wenn weder mit der Auszahlung der Bausparsumme begonnen worden ist noch die überwiesenen Beträge vor Ablauf der Sperrfrist ganz oder zum Teil zurückgezahlt noch Ansprüche aus dem Bausparvertrag abgetreten oder beliehen werden oder wenn eine solche vorzeitige Verfügung nach § 2 Absatz 3 Satz 2 Nummer 1 und 2 des Wohnungsbau-Prämiengesetzes in der Fassung der Bekanntmachung vom 30. Oktober 1997 (BGBl. I S. 2678), das zuletzt durch Artikel 7 des Gesetzes vom 5. April 2011 (BGBl. I S. 554) geändert worden ist, in der jeweils geltenden Fassung unschädlich ist. Satz 1 gilt für vor dem 1. Januar 2009 und nach dem 31. Dezember 2008 abgeschlossene Bausparverträge.</w:t>
      </w:r>
    </w:p>
    <w:p>
      <w:r>
        <w:rPr>
          <w:color w:val="555555"/>
          <w:sz w:val="17"/>
        </w:rPr>
        <w:t xml:space="preserve">Zitiervorschlag: § 8 VermBG 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https://recht.nulegal.eu/gesetze/VermBG%202/8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