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VermBG 2 — Vermögenswirksame Leistungen für Angehörige, Überweisung durch den Arbeitgeber, Kennzeichnungs-, Bestätigungs- und Mitteilungspflichten</w:t>
      </w:r>
    </w:p>
    <w:p>
      <w:r>
        <w:rPr>
          <w:color w:val="555555"/>
          <w:sz w:val="18"/>
        </w:rPr>
        <w:t xml:space="preserve">Fünftes Vermögensbildungsgesetz</w:t>
      </w:r>
    </w:p>
    <w:p>
      <w:r>
        <w:rPr>
          <w:color w:val="555555"/>
          <w:sz w:val="18"/>
        </w:rPr>
        <w:t xml:space="preserve">Stand: 10.06.2019 (konsolidierte Textfassung, kein amtliches Inkrafttretensdatum)</w:t>
      </w:r>
    </w:p>
    <w:p>
      <w:r>
        <w:t xml:space="preserve">(1) Vermögenswirksame Leistungen können auch angelegt werden</w:t>
      </w:r>
    </w:p>
    <w:p>
      <w:pPr>
        <w:ind w:left="420"/>
      </w:pPr>
      <w:r>
        <w:t xml:space="preserve">1. zugunsten des nicht dauernd getrennt lebenden Ehegatten oder Lebenspartners des Arbeitnehmers,</w:t>
      </w:r>
    </w:p>
    <w:p>
      <w:pPr>
        <w:ind w:left="420"/>
      </w:pPr>
      <w:r>
        <w:t xml:space="preserve">2. zugunsten der in § 32 Abs. 1 des Einkommensteuergesetzes bezeichneten Kinder, die zu Beginn des maßgebenden Kalenderjahrs das 17. Lebensjahr noch nicht vollendet hatten oder die in diesem Kalenderjahr lebend geboren wurden oder</w:t>
      </w:r>
    </w:p>
    <w:p>
      <w:pPr>
        <w:ind w:left="420"/>
      </w:pPr>
      <w:r>
        <w:t xml:space="preserve">3. zugunsten der Eltern oder eines Elternteils des Arbeitnehmers, wenn der Arbeitnehmer als Kind die Voraussetzungen der Nummer 2 erfüllt.</w:t>
      </w:r>
    </w:p>
    <w:p>
      <w:r>
        <w:t xml:space="preserve">Dies gilt nicht für die Anlage vermögenswirksamer Leistungen auf Grund von Verträgen nach den §§ 5 bis 7.</w:t>
      </w:r>
    </w:p>
    <w:p>
      <w:r>
        <w:t xml:space="preserve">(2) Der Arbeitgeber hat die vermögenswirksamen Leistungen für den Arbeitnehmer unmittelbar an das Unternehmen oder Institut zu überweisen, bei dem sie angelegt werden sollen. Er hat dabei gegenüber dem Unternehmen oder Institut die vermögenswirksamen Leistungen zu kennzeichnen. Das Unternehmen oder Institut hat die nach § 2 Abs. 1 Nr. 1 bis 5, Abs. 2 bis 4 angelegten vermögenswirksamen Leistungen und die Art ihrer Anlage zu kennzeichnen. Kann eine vermögenswirksame Leistung nicht oder nicht mehr die Voraussetzungen des § 2 Abs. 1 bis 4 erfüllen, so hat das Unternehmen oder Institut dies dem Arbeitgeber unverzüglich schriftlich mitzuteilen. Die Sätze 1 bis 4 gelten nicht für die Anlage vermögenswirksamer Leistungen auf Grund von Verträgen nach den §§ 5, 6 Abs. 1 und § 7 Abs. 1 mit dem Arbeitgeber.</w:t>
      </w:r>
    </w:p>
    <w:p>
      <w:r>
        <w:t xml:space="preserve">(3) Für eine vom Arbeitnehmer gewählte Anlage nach § 2 Abs. 1 Nr. 5 hat der Arbeitgeber auf Verlangen des Arbeitnehmers die vermögenswirksamen Leistungen an den Arbeitnehmer zu überweisen, wenn dieser dem Arbeitgeber eine schriftliche Bestätigung seines Gläubigers vorgelegt hat, daß die Anlage bei ihm die Voraussetzungen des § 2 Abs. 1 Nr. 5 erfüllt; Absatz 2 gilt in diesem Falle nicht. Der Arbeitgeber hat die Richtigkeit der Bestätigung nicht zu prüfen.</w:t>
      </w:r>
    </w:p>
    <w:p>
      <w:r>
        <w:t xml:space="preserve">(4) (weggefallen)</w:t>
      </w:r>
    </w:p>
    <w:p>
      <w:r>
        <w:rPr>
          <w:color w:val="555555"/>
          <w:sz w:val="17"/>
        </w:rPr>
        <w:t xml:space="preserve">Zitiervorschlag: § 3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