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VermBG 2 — Vermögenswirksame Leistungen, Anlageformen</w:t>
      </w:r>
    </w:p>
    <w:p>
      <w:r>
        <w:rPr>
          <w:color w:val="555555"/>
          <w:sz w:val="18"/>
        </w:rPr>
        <w:t xml:space="preserve">Fünftes Vermögensbildungsgesetz</w:t>
      </w:r>
    </w:p>
    <w:p>
      <w:r>
        <w:rPr>
          <w:color w:val="555555"/>
          <w:sz w:val="18"/>
        </w:rPr>
        <w:t xml:space="preserve">Stand: 01.01.2025 (konsolidierte Textfassung, kein amtliches Inkrafttretensdatum)</w:t>
      </w:r>
    </w:p>
    <w:p>
      <w:r>
        <w:t xml:space="preserve">(1) Vermögenswirksame Leistungen sind Geldleistungen, die der Arbeitgeber für den Arbeitnehmer anlegt</w:t>
      </w:r>
    </w:p>
    <w:p>
      <w:pPr>
        <w:ind w:left="420"/>
      </w:pPr>
      <w:r>
        <w:t xml:space="preserve">1. als Sparbeiträge des Arbeitnehmers auf Grund eines Sparvertrags über Wertpapiere oder andere Vermögensbeteiligungen (§ 4)</w:t>
      </w:r>
    </w:p>
    <w:p>
      <w:pPr>
        <w:ind w:left="780"/>
      </w:pPr>
      <w:r>
        <w:t xml:space="preserve">a) zum Erwerb von Aktien, die vom Arbeitgeber ausgegeben werden oder an einer deutschen Börse zum regulierten Markt zugelassen oder in den geregelten Freiverkehr einbezogen sind,</w:t>
      </w:r>
    </w:p>
    <w:p>
      <w:pPr>
        <w:ind w:left="780"/>
      </w:pPr>
      <w:r>
        <w:t xml:space="preserve">b) zum Erwerb von Wandelschuldverschreibungen, die vom Arbeitgeber ausgegeben werden oder an einer deutschen Börse zum regulierten Markt zugelassen oder in den Freiverkehr einbezogen sind, sowie von Gewinnschuldverschreibungen, die vom Arbeitgeber ausgegeben werden, zum Erwerb von Namensschuldverschreibungen des Arbeitgebers jedoch nur dann, wenn auf dessen Kosten die Ansprüche des Arbeitnehmers aus der Schuldverschreibung durch ein Kreditinstitut verbürgt oder durch ein Versicherungsunternehmen privatrechtlich gesichert sind und das Kreditinstitut oder Versicherungsunternehmen im Geltungsbereich dieses Gesetzes zum Geschäftsbetrieb befugt ist,</w:t>
      </w:r>
    </w:p>
    <w:p>
      <w:pPr>
        <w:ind w:left="780"/>
      </w:pPr>
      <w:r>
        <w:t xml:space="preserve">c) zum Erwerb von Anteilen an OGAW-Sondervermögen sowie an als Sondervermögen aufgelegten offenen Publikums-AIF nach den §§ 218 und 219 des Kapitalanlagegesetzbuchs sowie von Anteilen an offenen EU-Investmentvermögen und offenen ausländischen AIF, die nach dem Kapitalanlagegesetzbuch vertrieben werden dürfen, wenn nach dem Jahresbericht für das vorletzte Geschäftsjahr, das dem Kalenderjahr des Abschlusses des Vertrags im Sinne des § 4 oder des § 5 vorausgeht, der Wert der Aktien in diesem Investmentvermögen 60 Prozent des Werts dieses Investmentvermögens nicht unterschreitet; für neu aufgelegte Investmentvermögen ist für das erste und zweite Geschäftsjahr der erste Jahresbericht oder der erste Halbjahresbericht nach Auflegung des Investmentvermögens maßgebend,</w:t>
      </w:r>
    </w:p>
    <w:p>
      <w:pPr>
        <w:ind w:left="780"/>
      </w:pPr>
      <w:r>
        <w:t xml:space="preserve">d) (weggefallen)</w:t>
      </w:r>
    </w:p>
    <w:p>
      <w:pPr>
        <w:ind w:left="780"/>
      </w:pPr>
      <w:r>
        <w:t xml:space="preserve">e) (weggefallen)</w:t>
      </w:r>
    </w:p>
    <w:p>
      <w:pPr>
        <w:ind w:left="780"/>
      </w:pPr>
      <w:r>
        <w:t xml:space="preserve">f) zum Erwerb von Genußscheinen, die vom Arbeitgeber als Wertpapiere ausgegeben werden oder an einer deutschen Börse zum regulierten Markt zugelassen oder in den Freiverkehr einbezogen sind und von Unternehmen mit Sitz und Geschäftsleitung im Geltungsbereich dieses Gesetzes, die keine Kreditinstitute sind, ausgegeben werden, wenn mit den Genußscheinen das Recht am Gewinn eines Unternehmens verbunden ist und der Arbeitnehmer nicht als Mitunternehmer im Sinne des § 15 Abs. 1 Satz 1 Nr. 2 des Einkommensteuergesetzes anzusehen ist,</w:t>
      </w:r>
    </w:p>
    <w:p>
      <w:pPr>
        <w:ind w:left="780"/>
      </w:pPr>
      <w:r>
        <w:t xml:space="preserve">g) zur Begründung oder zum Erwerb eines Geschäftsguthabens bei einer Genossenschaft mit Sitz und Geschäftsleitung im Geltungsbereich dieses Gesetzes; ist die Genossenschaft nicht der Arbeitgeber, so setzt die Anlage vermögenswirksamer Leistungen voraus, daß die Genossenschaft entweder ein Kreditinstitut oder eine Bau- oder Wohnungsgenossenschaft im Sinne des § 2 Abs. 1 Nr. 2 des Wohnungsbau-Prämiengesetzes ist, die zum Zeitpunkt der Begründung oder des Erwerbs des Geschäftsguthabens seit mindestens drei Jahren im Genossenschaftsregister ohne wesentliche Änderung ihres Unternehmensgegenstandes eingetragen und nicht aufgelöst ist oder Sitz und Geschäftsleitung in dem in Artikel 3 des Einigungsvertrages genannten Gebiet hat und dort entweder am 1. Juli 1990 als Arbeiterwohnungsbaugenossenschaft, Gemeinnützige Wohnungsbaugenossenschaft oder sonstige Wohnungsbaugenossenschaft bestanden oder einen nicht unwesentlichen Teil von Wohnungen aus dem Bestand einer solchen Bau- oder Wohnungsgenossenschaft erworben hat,</w:t>
      </w:r>
    </w:p>
    <w:p>
      <w:pPr>
        <w:ind w:left="780"/>
      </w:pPr>
      <w:r>
        <w:t xml:space="preserve">h) zur Übernahme einer Stammeinlage oder zum Erwerb eines Geschäftsanteils an einer Gesellschaft mit beschränkter Haftung mit Sitz und Geschäftsleitung im Geltungsbereich dieses Gesetzes, wenn die Gesellschaft das Unternehmen des Arbeitgebers ist,</w:t>
      </w:r>
    </w:p>
    <w:p>
      <w:pPr>
        <w:ind w:left="780"/>
      </w:pPr>
      <w:r>
        <w:t xml:space="preserve">i) zur Begründung oder zum Erwerb einer Beteiligung als stiller Gesellschafter im Sinne des § 230 des Handelsgesetzbuchs am Unternehmen des Arbeitgebers mit Sitz und Geschäftsleitung im Geltungsbereich dieses Gesetzes, wenn der Arbeitnehmer nicht als Mitunternehmer im Sinne des § 15 Abs. 1 Nr. 2 des Einkommensteuergesetzes anzusehen ist,</w:t>
      </w:r>
    </w:p>
    <w:p>
      <w:pPr>
        <w:ind w:left="780"/>
      </w:pPr>
      <w:r>
        <w:t xml:space="preserve">k) zur Begründung oder zum Erwerb einer Darlehensforderung gegen den Arbeitgeber, wenn auf dessen Kosten die Ansprüche des Arbeitnehmers aus dem Darlehensvertrag durch ein Kreditinstitut verbürgt oder durch ein Versicherungsunternehmen privatrechtlich gesichert sind und das Kreditinstitut oder Versicherungsunternehmen im Geltungsbereich dieses Gesetzes zum Geschäftsbetrieb befugt ist,</w:t>
      </w:r>
    </w:p>
    <w:p>
      <w:pPr>
        <w:ind w:left="780"/>
      </w:pPr>
      <w:r>
        <w:t xml:space="preserve">l) zur Begründung oder zum Erwerb eines Genußrechts am Unternehmen des Arbeitgebers mit Sitz und Geschäftsleitung im Geltungsbereich dieses Gesetzes, wenn damit das Recht am Gewinn dieses Unternehmens verbunden ist, der Arbeitnehmer nicht als Mitunternehmer im Sinne des § 15 Abs. 1 Nr. 2 des Einkommensteuergesetzes anzusehen ist und über das Genußrecht kein Genußschein im Sinne des Buchstaben f ausgegeben wird,</w:t>
      </w:r>
    </w:p>
    <w:p>
      <w:pPr>
        <w:ind w:left="420"/>
      </w:pPr>
      <w:r>
        <w:t xml:space="preserve">2. als Aufwendungen des Arbeitnehmers auf Grund eines Wertpapier-Kaufvertrags (§ 5),</w:t>
      </w:r>
    </w:p>
    <w:p>
      <w:pPr>
        <w:ind w:left="420"/>
      </w:pPr>
      <w:r>
        <w:t xml:space="preserve">3. als Aufwendungen des Arbeitnehmers auf Grund eines Beteiligungs-Vertrags (§ 6) oder eines Beteiligungs-Kaufvertrags (§ 7),</w:t>
      </w:r>
    </w:p>
    <w:p>
      <w:pPr>
        <w:ind w:left="420"/>
      </w:pPr>
      <w:r>
        <w:t xml:space="preserve">4. als Aufwendungen des Arbeitnehmers nach den Vorschriften des Wohnungsbau-Prämiengesetzes; die Voraussetzungen für die Gewährung einer Prämie nach dem Wohnungsbau-Prämiengesetz brauchen nicht vorzuliegen; die Anlage vermögenswirksamer Leistungen als Aufwendungen nach § 2 Abs. 1 Nr. 2 des Wohnungsbau-Prämiengesetzes für den ersten Erwerb von Anteilen an Bau- und Wohnungsgenossenschaften setzt voraus, daß die Voraussetzungen der Nummer 1 Buchstabe g zweiter Halbsatz erfüllt sind,</w:t>
      </w:r>
    </w:p>
    <w:p>
      <w:pPr>
        <w:ind w:left="420"/>
      </w:pPr>
      <w:r>
        <w:t xml:space="preserve">5. als Aufwendungen des Arbeitnehmers</w:t>
      </w:r>
    </w:p>
    <w:p>
      <w:pPr>
        <w:ind w:left="780"/>
      </w:pPr>
      <w:r>
        <w:t xml:space="preserve">a) zum Bau, zum Erwerb, zum Ausbau oder zur Erweiterung eines im Inland belegenen Wohngebäudes oder einer im Inland belegenen Eigentumswohnung,</w:t>
      </w:r>
    </w:p>
    <w:p>
      <w:pPr>
        <w:ind w:left="780"/>
      </w:pPr>
      <w:r>
        <w:t xml:space="preserve">b) zum Erwerb eines Dauerwohnrechts im Sinne des Wohnungseigentumsgesetzes an einer im Inland belegenen Wohnung,</w:t>
      </w:r>
    </w:p>
    <w:p>
      <w:pPr>
        <w:ind w:left="780"/>
      </w:pPr>
      <w:r>
        <w:t xml:space="preserve">c) zum Erwerb eines im Inland belegenen Grundstücks zum Zwecke des Wohnungsbaus oder</w:t>
      </w:r>
    </w:p>
    <w:p>
      <w:pPr>
        <w:ind w:left="780"/>
      </w:pPr>
      <w:r>
        <w:t xml:space="preserve">d) zur Erfüllung von Verpflichtungen, die im Zusammenhang mit den in den Buchstaben a bis c bezeichneten Vorhaben eingegangen sind,</w:t>
      </w:r>
    </w:p>
    <w:p>
      <w:pPr>
        <w:ind w:left="420"/>
      </w:pPr>
      <w:r>
        <w:t xml:space="preserve">sofern der Anlage nicht ein von einem Dritten vorgefertigtes Konzept zu Grunde liegt, bei dem der Arbeitnehmer vermögenswirksame Leistungen zusammen mit mehr als 15 anderen Arbeitnehmern anlegen kann; die Förderung der Aufwendungen nach den Buchstaben a bis c setzt voraus, daß sie unmittelbar für die dort bezeichneten Vorhaben verwendet werden,</w:t>
      </w:r>
    </w:p>
    <w:p>
      <w:pPr>
        <w:ind w:left="420"/>
      </w:pPr>
      <w:r>
        <w:t xml:space="preserve">6. als Sparbeiträge des Arbeitnehmers auf Grund eines Sparvertrags (§ 8),</w:t>
      </w:r>
    </w:p>
    <w:p>
      <w:pPr>
        <w:ind w:left="420"/>
      </w:pPr>
      <w:r>
        <w:t xml:space="preserve">7. als Beiträge des Arbeitnehmers auf Grund eines Kapitalversicherungsvertrags (§ 9),</w:t>
      </w:r>
    </w:p>
    <w:p>
      <w:pPr>
        <w:ind w:left="420"/>
      </w:pPr>
      <w:r>
        <w:t xml:space="preserve">8. als Aufwendungen des Arbeitnehmers, der nach § 18 Abs. 2 oder 3 die Mitgliedschaft in einer Genossenschaft oder Gesellschaft mit beschränkter Haftung gekündigt hat, zur Erfüllung von Verpflichtungen aus der Mitgliedschaft, die nach dem 31. Dezember 1994 fortbestehen oder entstehen.</w:t>
      </w:r>
    </w:p>
    <w:p>
      <w:r>
        <w:t xml:space="preserve">(2) Aktien, Wandelschuldverschreibungen, Gewinnschuldverschreibungen oder Genußscheine eines Unternehmens, das im Sinne des § 18 Abs. 1 des Aktiengesetzes als herrschendes Unternehmen mit dem Unternehmen des Arbeitgebers verbunden ist, stehen Aktien, Wandelschuldverschreibungen, Gewinnschuldverschreibungen oder Genußscheinen im Sinne des Absatzes 1 Nr. 1 Buchstabe a, b oder f gleich, die vom Arbeitgeber ausgegeben werden. Ein Geschäftsguthaben bei einer Genossenschaft mit Sitz und Geschäftsleitung im Geltungsbereich dieses Gesetzes, die im Sinne des § 18 Abs. 1 des Aktiengesetzes als herrschendes Unternehmen mit dem Unternehmen des Arbeitgebers verbunden ist, steht einem Geschäftsguthaben im Sinne des Absatzes 1 Nr. 1 Buchstabe g bei einer Genossenschaft, die das Unternehmen des Arbeitgebers ist, gleich. Eine Stammeinlage oder ein Geschäftsanteil an einer Gesellschaft mit beschränkter Haftung mit Sitz und Geschäftsleitung im Geltungsbereich dieses Gesetzes, die im Sinne des § 18 Abs. 1 des Aktiengesetzes als herrschendes Unternehmen mit dem Unternehmen des Arbeitgebers verbunden ist, stehen einer Stammeinlage oder einem Geschäftsanteil im Sinne des Absatzes 1 Nr. 1 Buchstabe h an einer Gesellschaft, die das Unternehmen des Arbeitgebers ist, gleich. Eine Beteiligung als stiller Gesellschafter an einem Unternehmen mit Sitz und Geschäftsleitung im Geltungsbereich dieses Gesetzes, das im Sinne des § 18 Abs. 1 des Aktiengesetzes als herrschendes Unternehmen mit dem Unternehmen des Arbeitgebers verbunden ist oder das auf Grund eines Vertrags mit dem Arbeitgeber an dessen Unternehmen gesellschaftsrechtlich beteiligt ist, steht einer Beteiligung als stiller Gesellschafter im Sinne des Absatzes 1 Nr. 1 Buchstabe i gleich. Eine Darlehensforderung gegen ein Unternehmen mit Sitz und Geschäftsleitung im Geltungsbereich dieses Gesetzes, das im Sinne des § 18 Abs. 1 des Aktiengesetzes als herrschendes Unternehmen mit dem Unternehmen des Arbeitgebers verbunden ist, oder ein Genußrecht an einem solchen Unternehmen stehen einer Darlehensforderung oder einem Genußrecht im Sinne des Absatzes 1 Nr. 1 Buchstabe k oder l gleich.</w:t>
      </w:r>
    </w:p>
    <w:p>
      <w:r>
        <w:t xml:space="preserve">(3) Die Anlage vermögenswirksamer Leistungen in Gewinnschuldverschreibungen im Sinne des Absatzes 1 Nr. 1 Buchstabe b und des Absatzes 2 Satz 1, in denen neben der gewinnabhängigen Verzinsung eine gewinnunabhängige Mindestverzinsung zugesagt ist, setzt voraus, daß</w:t>
      </w:r>
    </w:p>
    <w:p>
      <w:pPr>
        <w:ind w:left="420"/>
      </w:pPr>
      <w:r>
        <w:t xml:space="preserve">1. die gewinnunabhängige Mindestverzinsung der Gewinnschuldverschreibung im Regelfall die Hälfte der Gesamtverzinsung nicht überschreitet oder</w:t>
      </w:r>
    </w:p>
    <w:p>
      <w:pPr>
        <w:ind w:left="420"/>
      </w:pPr>
      <w:r>
        <w:t xml:space="preserve">2. die gewinnunabhängige Mindestverzinsung zum Zeitpunkt der Ausgabe der Gewinnschuldverschreibung die Hälfte der Emissionsrendite festverzinslicher Wertpapiere nicht überschreitet, die in den Monatsberichten der Deutschen Bundesbank für den viertletzten Kalendermonat ausgewiesen wird, der dem Kalendermonat der Ausgabe vorausgeht.</w:t>
      </w:r>
    </w:p>
    <w:p>
      <w:r>
        <w:t xml:space="preserve">(4) Die Anlage vermögenswirksamer Leistungen in Genußscheinen und Genußrechten im Sinne des Absatzes 1 Nr. 1 Buchstaben f und l und des Absatzes 2 Satz 1 und 5 setzt voraus, daß eine Rückzahlung zum Nennwert nicht zugesagt ist; ist neben dem Recht am Gewinn eine gewinnunabhängige Mindestverzinsung zugesagt, gilt Absatz 3 entsprechend.</w:t>
      </w:r>
    </w:p>
    <w:p>
      <w:r>
        <w:t xml:space="preserve">(5) Der Anlage vermögenswirksamer Leistungen nach Absatz 1 Nr. 1 Buchstabe f, i bis l, Absatz 2 Satz 1, 4 und 5 sowie Absatz 4 in einer Genossenschaft mit Sitz und Geschäftsleitung im Geltungsbereich dieses Gesetzes stehen § 19 und eine Festsetzung durch Satzung gemäß § 20 des Genossenschaftsgesetzes nicht entgegen.</w:t>
      </w:r>
    </w:p>
    <w:p>
      <w:r>
        <w:t xml:space="preserve">(5a) Der Arbeitgeber hat vor der Anlage vermögenswirksamer Leistungen im eigenen Unternehmen in Zusammenarbeit mit dem Arbeitnehmer Vorkehrungen zu treffen, die der Absicherung der angelegten vermögenswirksamen Leistungen bei einer während der Dauer der Sperrfrist eintretenden Zahlungsunfähigkeit des Arbeitgebers dienen. Das Bundesministerium für Arbeit und Sozialordnung berichtet den gesetzgebenden Körperschaften bis zum 30. Juni 2002 über die nach Satz 1 getroffenen Vorkehrungen.</w:t>
      </w:r>
    </w:p>
    <w:p>
      <w:r>
        <w:t xml:space="preserve">(6) Vermögenswirksame Leistungen sind steuerpflichtige Einnahmen im Sinne des Einkommensteuergesetzes und Einkommen, Verdienst oder Entgelt (Arbeitsentgelt) im Sinne der Sozialversicherung und des Dritten Buches Sozialgesetzbuch. Reicht der nach Abzug der vermögenswirksamen Leistung verbleibende Arbeitslohn zur Deckung der einzubehaltenden Steuern, Sozialversicherungsbeiträge und Beiträge zur Bundesagentur für Arbeit nicht aus, so hat der Arbeitnehmer dem Arbeitgeber den zur Deckung erforderlichen Betrag zu zahlen.</w:t>
      </w:r>
    </w:p>
    <w:p>
      <w:r>
        <w:t xml:space="preserve">(7) Vermögenswirksame Leistungen sind arbeitsrechtlich Bestandteil des Lohns oder Gehalts. Der Anspruch auf die vermögenswirksame Leistung ist nicht übertragbar.</w:t>
      </w:r>
    </w:p>
    <w:p>
      <w:r>
        <w:rPr>
          <w:color w:val="555555"/>
          <w:sz w:val="17"/>
        </w:rPr>
        <w:t xml:space="preserve">Zitiervorschlag: § 2 VermBG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https://recht.nulegal.eu/gesetze/VermBG%202/2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