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16a VermBG 2 — Gleichstellung der Wertpapierinstitute</w:t>
      </w:r>
    </w:p>
    <w:p>
      <w:r>
        <w:rPr>
          <w:color w:val="555555"/>
          <w:sz w:val="18"/>
        </w:rPr>
        <w:t xml:space="preserve">Fünftes Vermögensbildungsgesetz</w:t>
      </w:r>
    </w:p>
    <w:p>
      <w:r>
        <w:rPr>
          <w:color w:val="555555"/>
          <w:sz w:val="18"/>
        </w:rPr>
        <w:t xml:space="preserve">Stand: 06.12.2024 (konsolidierte Textfassung, kein amtliches Inkrafttretensdatum)</w:t>
      </w:r>
    </w:p>
    <w:p>
      <w:r>
        <w:t xml:space="preserve">Für die Anwendung der vorstehenden Vorschriften dieses Gesetzes sind Wertpapierinstitute im Sinne des Wertpapierinstitutsgesetzes den Kreditinstituten sowie den Kapitalverwaltungsgesellschaften im Sinne des Kapitalanlagegesetzbuchs gleichgestellt.</w:t>
      </w:r>
    </w:p>
    <w:p>
      <w:r>
        <w:rPr>
          <w:color w:val="555555"/>
          <w:sz w:val="17"/>
        </w:rPr>
        <w:t xml:space="preserve">Zitiervorschlag: § 16a VermBG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https://recht.nulegal.eu/gesetze/VermBG%202/16a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