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VermBG 2 — Festsetzung der Arbeitnehmer-Sparzulage, Anwendung der Abgabenordnung, Verordnungsermächtigung, Rechtsweg</w:t>
      </w:r>
    </w:p>
    <w:p>
      <w:r>
        <w:rPr>
          <w:color w:val="555555"/>
          <w:sz w:val="18"/>
        </w:rPr>
        <w:t xml:space="preserve">Fünftes Vermögensbildungsgesetz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Verwaltung der Arbeitnehmer-Sparzulage obliegt den Finanzämtern. Die Arbeitnehmer-Sparzulage wird aus den Einnahmen an Lohnsteuer gezahlt.</w:t>
      </w:r>
    </w:p>
    <w:p>
      <w:r>
        <w:t xml:space="preserve">(2) Auf die Arbeitnehmer-Sparzulage sind die für Steuervergütungen geltenden Vorschriften der Abgabenordnung entsprechend anzuwenden. Dies gilt nicht für § 163 der Abgabenordnung.</w:t>
      </w:r>
    </w:p>
    <w:p>
      <w:r>
        <w:t xml:space="preserve">(3) Für die Arbeitnehmer-Sparzulage gelten die Strafvorschriften des § 370 Abs. 1 bis 4, der §§ 371, 375 Abs. 1 und des § 376 sowie die Bußgeldvorschriften der §§ 378, 379 Abs. 1 und 4 und der §§ 383 und 384 der Abgabenordnung entsprechend. Für das Strafverfahren wegen einer Straftat nach Satz 1 sowie der Begünstigung einer Person, die eine solche Tat begangen hat, gelten die §§ 385 bis 408, für das Bußgeldverfahren wegen einer Ordnungswidrigkeit nach Satz 1 die §§ 409 bis 412 der Abgabenordnung entsprechend.</w:t>
      </w:r>
    </w:p>
    <w:p>
      <w:r>
        <w:t xml:space="preserve">(4) Die Arbeitnehmer-Sparzulage wird auf Antrag durch das für die Besteuerung des Arbeitnehmers nach dem Einkommen zuständige Finanzamt festgesetzt. Der Arbeitnehmer hat den Antrag nach amtlich vorgeschriebenem Vordruck zu stellen. Die Arbeitnehmer-Sparzulage wird fällig</w:t>
      </w:r>
    </w:p>
    <w:p>
      <w:pPr>
        <w:ind w:left="420"/>
      </w:pPr>
      <w:r>
        <w:t xml:space="preserve">a) mit Ablauf der für die Anlageform vorgeschriebenen Sperrfrist nach diesem Gesetz,</w:t>
      </w:r>
    </w:p>
    <w:p>
      <w:pPr>
        <w:ind w:left="420"/>
      </w:pPr>
      <w:r>
        <w:t xml:space="preserve">b) mit Ablauf der im Wohnungsbau-Prämiengesetz oder in der Verordnung zur Durchführung des Wohnungsbau-Prämiengesetzes genannten Sperr- und Rückzahlungsfristen. Bei Bausparverträgen gelten die in § 2 Abs. 3 Satz 1 des Wohnungsbau-Prämiengesetzes genannten Sperr- und Rückzahlungsfristen und zwar unabhängig davon, ob der Vertrag vor dem 1. Januar 2009 oder nach dem 31. Dezember 2008 abgeschlossen worden ist,</w:t>
      </w:r>
    </w:p>
    <w:p>
      <w:pPr>
        <w:ind w:left="420"/>
      </w:pPr>
      <w:r>
        <w:t xml:space="preserve">c) mit Zuteilung des Bausparvertrags oder</w:t>
      </w:r>
    </w:p>
    <w:p>
      <w:pPr>
        <w:ind w:left="420"/>
      </w:pPr>
      <w:r>
        <w:t xml:space="preserve">d) in den Fällen unschädlicher Verfügung.</w:t>
      </w:r>
    </w:p>
    <w:p>
      <w:r>
        <w:t xml:space="preserve">(5) Ein Bescheid über die Ablehnung der Festsetzung einer Arbeitnehmer-Sparzulage ist aufzuheben und die Arbeitnehmer-Sparzulage ist nachträglich festzusetzen, wenn der Einkommensteuerbescheid nach Ergehen des Ablehnungsbescheides geändert wird und dadurch erstmals festgestellt wird, dass die Einkommensgrenzen des § 13 Absatz 1 unterschritten sind. Die Frist für die Festsetzung der Arbeitnehmer-Sparzulage endet in diesem Fall nicht vor Ablauf eines Jahres nach Bekanntgabe des geänderten Steuerbescheides. Satz 2 gilt entsprechend, wenn der geänderten Einkommensteuerfestsetzung kein Bescheid über die Ablehnung der Festsetzung einer Arbeitnehmer-Sparzulage vorangegangen ist.</w:t>
      </w:r>
    </w:p>
    <w:p>
      <w:r>
        <w:t xml:space="preserve">(6) Besteht für Aufwendungen, die vermögenswirksame Leistungen darstellen, ein Anspruch auf Arbeitnehmer-Sparzulage und hat der Arbeitnehmer hierfür abweichend von § 1 Satz 2 Nummer 1 des Wohnungsbau-Prämiengesetzes eine Wohnungsbauprämie beantragt, endet die Frist für die Festsetzung der Arbeitnehmer-Sparzulage nicht vor Ablauf eines Jahres nach Bekanntgabe der Mitteilung über die Änderung des Prämienanspruchs.</w:t>
      </w:r>
    </w:p>
    <w:p>
      <w:r>
        <w:t xml:space="preserve">(7) Die Bundesregierung wird ermächtigt, durch Rechtsverordnung mit Zustimmung des Bundesrates das Verfahren bei der Festsetzung und der Auszahlung der Arbeitnehmer-Sparzulage näher zu regeln, soweit dies zur Vereinfachung des Verfahrens erforderlich ist. Dabei kann auch bestimmt werden, daß der Arbeitgeber, das Unternehmen, das Institut oder der in § 3 Abs. 3 genannte Gläubiger bei der Antragstellung mitwirkt und ihnen die Arbeitnehmer-Sparzulage zugunsten des Arbeitnehmers überwiesen wird.</w:t>
      </w:r>
    </w:p>
    <w:p>
      <w:r>
        <w:t xml:space="preserve">(8) In öffentlich-rechtlichen Streitigkeiten über die auf Grund dieses Gesetzes ergehenden Verwaltungsakte der Finanzbehörden ist der Finanzrechtsweg gegeben.</w:t>
      </w:r>
    </w:p>
    <w:p>
      <w:r>
        <w:rPr>
          <w:color w:val="555555"/>
          <w:sz w:val="17"/>
        </w:rPr>
        <w:t xml:space="preserve">Zitiervorschlag: § 14 VermBG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https://recht.nulegal.eu/gesetze/VermBG%202/14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