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VermBG 2 — Anspruch auf Arbeitnehmer-Sparzulage</w:t>
      </w:r>
    </w:p>
    <w:p>
      <w:r>
        <w:rPr>
          <w:color w:val="555555"/>
          <w:sz w:val="18"/>
        </w:rPr>
        <w:t xml:space="preserve">Fünftes Vermögensbildungsgesetz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Der Arbeitnehmer hat Anspruch auf eine Arbeitnehmer-Sparzulage nach Absatz 2, wenn er gegenüber dem Unternehmen, dem Institut oder dem in § 3 Absatz 3 genannten Gläubiger in die Datenübermittlung nach Maßgabe des § 15 Absatz 1 Satz 2 und 3 eingewilligt hat und sein Einkommen die Grenze von 40 000 Euro oder bei einer Zusammenveranlagung nach § 26b des Einkommensteuergesetzes von 80 000 Euro nicht übersteigt. Maßgeblich ist das zu versteuernde Einkommen nach § 2 Absatz 5 des Einkommensteuergesetzes in dem Kalenderjahr, in dem die vermögenswirksamen Leistungen angelegt worden sind.</w:t>
      </w:r>
    </w:p>
    <w:p>
      <w:r>
        <w:t xml:space="preserve">(2) Die Arbeitnehmer-Sparzulage beträgt 20 Prozent der nach § 2 Absatz 1 Nummer 1 bis 3, Absatz 2 bis 4 angelegten vermögenswirksamen Leistungen, soweit sie 400 Euro im Kalenderjahr nicht übersteigen, und 9 Prozent der nach § 2 Absatz 1 Nummer 4 und 5 angelegten vermögenswirksamen Leistungen, soweit sie 470 Euro im Kalenderjahr nicht übersteigen.</w:t>
      </w:r>
    </w:p>
    <w:p>
      <w:r>
        <w:t xml:space="preserve">(3) Die Arbeitnehmer-Sparzulage gilt weder als steuerpflichtige Einnahme im Sinne des Einkommensteuergesetzes noch als Einkommen, Verdienst oder Entgelt (Arbeitsentgelt) im Sinne der Sozialversicherung und des Dritten Buches Sozialgesetzbuch; sie gilt arbeitsrechtlich nicht als Bestandteil des Lohns oder Gehalts. Der Anspruch auf Arbeitnehmer-Sparzulage ist nicht übertragbar.</w:t>
      </w:r>
    </w:p>
    <w:p>
      <w:r>
        <w:t xml:space="preserve">(4) Der Anspruch auf Arbeitnehmer-Sparzulage entsteht mit Ablauf des Kalenderjahrs, in dem die vermögenswirksamen Leistungen angelegt worden sind.</w:t>
      </w:r>
    </w:p>
    <w:p>
      <w:r>
        <w:t xml:space="preserve">(5) Der Anspruch auf Arbeitnehmer-Sparzulage entfällt rückwirkend, soweit die in den §§ 4 bis 7 genannten Fristen oder bei einer Anlage nach § 2 Abs. 1 Nr. 4 die in § 2 Abs. 1 Nr. 3 und 4 und Abs. 3 Satz 1 des Wohnungsbau-Prämiengesetzes vorgesehenen Voraussetzungen nicht eingehalten werden. Satz 1 gilt für vor dem 1. Januar 2009 und nach dem 31. Dezember 2008 abgeschlossene Bausparverträge. Der Anspruch entfällt nicht, wenn die Sperrfrist nicht eingehalten wird, weil</w:t>
      </w:r>
    </w:p>
    <w:p>
      <w:pPr>
        <w:ind w:left="420"/>
      </w:pPr>
      <w:r>
        <w:t xml:space="preserve">1. der Arbeitnehmer das Umtausch- oder Abfindungsangebot eines Wertpapier-Emittenten angenommen hat oder Wertpapiere dem Aussteller nach Auslosung oder Kündigung durch den Aussteller zur Einlösung vorgelegt worden sind,</w:t>
      </w:r>
    </w:p>
    <w:p>
      <w:pPr>
        <w:ind w:left="420"/>
      </w:pPr>
      <w:r>
        <w:t xml:space="preserve">2. die mit den vermögenswirksamen Leistungen erworbenen oder begründeten Wertpapiere oder Rechte im Sinne des § 2 Abs. 1 Nr. 1, Abs. 2 bis 4 ohne Mitwirkung des Arbeitnehmers wertlos geworden sind oder</w:t>
      </w:r>
    </w:p>
    <w:p>
      <w:pPr>
        <w:ind w:left="420"/>
      </w:pPr>
      <w:r>
        <w:t xml:space="preserve">3. der Arbeitnehmer über nach § 2 Abs. 1 Nr. 4 angelegte vermögenswirksame Leistungen nach Maßgabe des § 4 Abs. 4 Nr. 4 in Höhe von mindestens 30 Euro verfügt.</w:t>
      </w:r>
    </w:p>
    <w:p>
      <w:r>
        <w:rPr>
          <w:color w:val="555555"/>
          <w:sz w:val="17"/>
        </w:rPr>
        <w:t xml:space="preserve">Zitiervorschlag: § 13 VermBG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https://recht.nulegal.eu/gesetze/VermBG%202/13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