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VermBG 2 — Vereinbarung zusätzlicher vermögenswirksamer Leistungen</w:t>
      </w:r>
    </w:p>
    <w:p>
      <w:r>
        <w:rPr>
          <w:color w:val="555555"/>
          <w:sz w:val="18"/>
        </w:rPr>
        <w:t xml:space="preserve">Fünftes Vermögensbildungsgesetz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Vermögenswirksame Leistungen können in Verträgen mit Arbeitnehmern, in Betriebsvereinbarungen, in Tarifverträgen oder in bindenden Festsetzungen (§ 19 des Heimarbeitsgesetzes) vereinbart werden.</w:t>
      </w:r>
    </w:p>
    <w:p>
      <w:r>
        <w:t xml:space="preserve">(2) bis (4) (weggefallen)</w:t>
      </w:r>
    </w:p>
    <w:p>
      <w:r>
        <w:t xml:space="preserve">(5) Der Arbeitgeber kann auf tarifvertraglich vereinbarte vermögenswirksame Leistungen die betrieblichen Sozialleistungen anrechnen, die dem Arbeitnehmer in dem Kalenderjahr bisher schon als vermögenswirksame Leistungen erbracht worden sind.</w:t>
      </w:r>
    </w:p>
    <w:p>
      <w:r>
        <w:rPr>
          <w:color w:val="555555"/>
          <w:sz w:val="17"/>
        </w:rPr>
        <w:t xml:space="preserve">Zitiervorschlag: § 10 VermBG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https://recht.nulegal.eu/gesetze/VermBG%202/10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