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VermBG 2 — Persönlicher Geltungsbereich</w:t>
      </w:r>
    </w:p>
    <w:p>
      <w:r>
        <w:rPr>
          <w:color w:val="555555"/>
          <w:sz w:val="18"/>
        </w:rPr>
        <w:t xml:space="preserve">Fünftes Vermögensbildungsgesetz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Vermögensbildung der Arbeitnehmer durch vereinbarte vermögenswirksame Leistungen der Arbeitgeber wird nach den Vorschriften dieses Gesetzes gefördert.</w:t>
      </w:r>
    </w:p>
    <w:p>
      <w:r>
        <w:t xml:space="preserve">(2) Arbeitnehmer im Sinne dieses Gesetzes sind Arbeiter und Angestellte einschließlich der zu ihrer Berufsausbildung Beschäftigten. Als Arbeitnehmer gelten auch die in Heimarbeit Beschäftigten.</w:t>
      </w:r>
    </w:p>
    <w:p>
      <w:r>
        <w:t xml:space="preserve">(3) Die Vorschriften dieses Gesetzes gelten nicht</w:t>
      </w:r>
    </w:p>
    <w:p>
      <w:pPr>
        <w:ind w:left="420"/>
      </w:pPr>
      <w:r>
        <w:t xml:space="preserve">1. für vermögenswirksame Leistungen juristischer Personen an Mitglieder des Organs, das zur gesetzlichen Vertretung der juristischen Person berufen ist,</w:t>
      </w:r>
    </w:p>
    <w:p>
      <w:pPr>
        <w:ind w:left="420"/>
      </w:pPr>
      <w:r>
        <w:t xml:space="preserve">2. für vermögenswirksame Leistungen von Personengesamtheiten an die durch Gesetz, Satzung oder Gesellschaftsvertrag zur Vertretung der Personengesamtheit berufenen Personen.</w:t>
      </w:r>
    </w:p>
    <w:p>
      <w:r>
        <w:t xml:space="preserve">(4) Für Beamte, Richter, Berufssoldaten und Soldaten auf Zeit gelten die nachstehenden Vorschriften dieses Gesetzes entsprechend.</w:t>
      </w:r>
    </w:p>
    <w:p>
      <w:r>
        <w:rPr>
          <w:color w:val="555555"/>
          <w:sz w:val="17"/>
        </w:rPr>
        <w:t xml:space="preserve">Zitiervorschlag: § 1 VermBG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https://recht.nulegal.eu/gesetze/VermBG%202/1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VermBG 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