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VermBDV 1994</w:t>
      </w:r>
    </w:p>
    <w:p>
      <w:r>
        <w:rPr>
          <w:color w:val="555555"/>
          <w:sz w:val="18"/>
        </w:rPr>
        <w:t xml:space="preserve">Fünftes Vermögensbildungsgesetz-Durchführungsverordnung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14 Abs. 5 und des § 15 Abs. 2 des Fünften Vermögensbildungsgesetzes in der Fassung der Bekanntmachung vom 4. März 1994 (BGBl. I S. 406) verordnet die Bundesregierung und auf Grund des § 156 Abs. 1 der Abgabenordnung vom 16. März 1976 (BGBl. I S. 613), der durch Artikel 26 des Gesetzes vom 21. Dezember 1993 (BGBl. I S. 2310) geändert worden ist, verordnet das Bundesministerium der Finanzen:</w:t>
      </w:r>
    </w:p>
    <w:p>
      <w:r>
        <w:rPr>
          <w:color w:val="555555"/>
          <w:sz w:val="17"/>
        </w:rPr>
        <w:t xml:space="preserve">Zitiervorschlag: Eingangsformel VermBDV 1994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https://recht.nulegal.eu/gesetze/VermBDV%201994/eingangsformel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