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VermBDV 1994 — Elektronische Vermögensbildungsbescheinigung</w:t>
      </w:r>
    </w:p>
    <w:p>
      <w:r>
        <w:rPr>
          <w:color w:val="555555"/>
          <w:sz w:val="18"/>
        </w:rPr>
        <w:t xml:space="preserve">Fünftes Vermögensbildungsgesetz-Durchführungsverordnung</w:t>
      </w:r>
    </w:p>
    <w:p>
      <w:r>
        <w:rPr>
          <w:color w:val="555555"/>
          <w:sz w:val="18"/>
        </w:rPr>
        <w:t xml:space="preserve">Stand: 10.06.2019 (konsolidierte Textfassung, kein amtliches Inkrafttretensdatum)</w:t>
      </w:r>
    </w:p>
    <w:p>
      <w:r>
        <w:t xml:space="preserve">(1) Das Kreditinstitut, das Unternehmen oder der Arbeitgeber, bei dem vermögenswirksame Leistungen nach § 2 Absatz 1 Nummer 1 bis 4 oder Absatz 2 bis 4 des Gesetzes angelegt werden, hat in der elektronischen Vermögensbildungsbescheinigung seinen Institutsschlüssel und die Vertragsnummer des Arbeitnehmers anzugeben. Der Institutsschlüssel ist bei der Zentralstelle für Arbeitnehmer-Sparzulage und Wohnungsbauprämie anzufordern. Bei der Anforderung sind anzugeben</w:t>
      </w:r>
    </w:p>
    <w:p>
      <w:pPr>
        <w:ind w:left="420"/>
      </w:pPr>
      <w:r>
        <w:t xml:space="preserve">1. Name und Anschrift des anfordernden Kreditinstituts, Unternehmens oder Arbeitgebers,</w:t>
      </w:r>
    </w:p>
    <w:p>
      <w:pPr>
        <w:ind w:left="420"/>
      </w:pPr>
      <w:r>
        <w:t xml:space="preserve">2. Bankverbindung für die Überweisung der Arbeitnehmer-Sparzulagen,</w:t>
      </w:r>
    </w:p>
    <w:p>
      <w:pPr>
        <w:ind w:left="420"/>
      </w:pPr>
      <w:r>
        <w:t xml:space="preserve">3. Lieferanschrift für die Übersendung von Datenträgern.</w:t>
      </w:r>
    </w:p>
    <w:p>
      <w:r>
        <w:t xml:space="preserve">Die Vertragsnummer darf keine Sonderzeichen enthalten.</w:t>
      </w:r>
    </w:p>
    <w:p>
      <w:r>
        <w:t xml:space="preserve">(2) Der Arbeitgeber oder das Unternehmen, bei dem vermögenswirksame Leistungen nach § 2 Abs. 1 Nr. 2 und 3, Abs. 2 bis 4 des Gesetzes angelegt werden, hat in der elektronischen Vermögensbildungsbescheinigung, die noch nicht zum Erwerb von Wertpapieren oder zur Begründung von Rechten verwendet worden sind, als Ende der Sperrfrist den 31. Dezember des sechsten Kalenderjahres nach dem Kalenderjahr anzugeben, dem die vermögenswirksamen Leistungen zuzuordnen sind.</w:t>
      </w:r>
    </w:p>
    <w:p>
      <w:r>
        <w:t xml:space="preserve">(3) In der elektronischen Vermögensbildungsbescheinigung über vermögenswirksame Leistungen, die nach § 2 Absatz 1 Nummer 1 oder Nummer 4 des Gesetzes bei Kreditinstituten, Kapitalverwaltungsgesellschaften oder Versicherungsunternehmen angelegt worden sind, ist bei einer unschädlichen vorzeitigen Verfügung als Ende der Sperrfrist der Zeitpunkt dieser Verfügung anzugeben. Dies gilt bei Zuteilung eines Bausparvertrags entsprechend.</w:t>
      </w:r>
    </w:p>
    <w:p>
      <w:r>
        <w:t xml:space="preserve">(4) Bei einer schädlichen vorzeitigen Verfügung über vermögenswirksame Leistungen, die nach § 2 Abs. 1 Nr. 1 oder 4 des Gesetzes bei Kreditinstituten, Kapitalverwaltungsgesellschaften oder Versicherungsunternehmen angelegt worden sind, darf eine elektronische Vermögensbildungsbescheinigung nicht erteilt werden.</w:t>
      </w:r>
    </w:p>
    <w:p>
      <w:r>
        <w:rPr>
          <w:color w:val="555555"/>
          <w:sz w:val="17"/>
        </w:rPr>
        <w:t xml:space="preserve">Zitiervorschlag: § 5 VermBDV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https://recht.nulegal.eu/gesetze/VermBDV%201994/5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