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VermAnlG — Pflicht zur Veröffentlichung eines Verkaufsprospekts</w:t>
      </w:r>
    </w:p>
    <w:p>
      <w:r>
        <w:rPr>
          <w:color w:val="555555"/>
          <w:sz w:val="18"/>
        </w:rPr>
        <w:t xml:space="preserve">Vermögensanlagengesetz</w:t>
      </w:r>
    </w:p>
    <w:p>
      <w:r>
        <w:rPr>
          <w:color w:val="555555"/>
          <w:sz w:val="18"/>
        </w:rPr>
        <w:t xml:space="preserve">Stand: 10.06.2019 (konsolidierte Textfassung, kein amtliches Inkrafttretensdatum)</w:t>
      </w:r>
    </w:p>
    <w:p>
      <w:r>
        <w:t xml:space="preserve">Ein Anbieter, der im Inland Vermögensanlagen öffentlich anbietet, muss einen Verkaufsprospekt nach diesem Gesetz veröffentlichen, sofern nicht bereits nach anderen Vorschriften eine Prospektpflicht besteht oder ein gültiger Verkaufsprospekt nach den Vorschriften dieses Gesetzes bereits veröffentlicht worden ist.</w:t>
      </w:r>
    </w:p>
    <w:p>
      <w:r>
        <w:rPr>
          <w:color w:val="555555"/>
          <w:sz w:val="17"/>
        </w:rPr>
        <w:t xml:space="preserve">Zitiervorschlag: § 6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