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VermAnlG — Bußgeldvorschriften zur Rechnungslegung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einer Vorschrift des § 24 Absatz 1 Satz 1 in Verbindung mit</w:t>
      </w:r>
    </w:p>
    <w:p>
      <w:pPr>
        <w:ind w:left="420"/>
      </w:pPr>
      <w:r>
        <w:t xml:space="preserve">1. § 264 Absatz 2 Satz 1 oder Satz 2, § 265 Absatz 2 bis 4 oder Absatz 6, § 266, § 268 Absatz 3 bis 6 oder Absatz 7, § 272, § 274, § 275, § 277, § 284 oder § 285 des Handelsgesetzbuchs über den Jahresabschluss oder</w:t>
      </w:r>
    </w:p>
    <w:p>
      <w:pPr>
        <w:ind w:left="420"/>
      </w:pPr>
      <w:r>
        <w:t xml:space="preserve">2. § 289 Absatz 1 Satz 1, 2 oder Satz 3 des Handelsgesetzbuchs über den Lagebericht</w:t>
      </w:r>
    </w:p>
    <w:p>
      <w:r>
        <w:t xml:space="preserve">zuwiderhandelt.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Sinne des § 36 Absatz 1 Nummer 1 des Gesetzes über Ordnungswidrigkeiten ist das Bundesamt für Justiz.</w:t>
      </w:r>
    </w:p>
    <w:p>
      <w:r>
        <w:rPr>
          <w:color w:val="555555"/>
          <w:sz w:val="17"/>
        </w:rPr>
        <w:t xml:space="preserve">Zitiervorschlag: § 30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