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2c VermAnlG — Befreiungen für gemeinnützige Projekte und Religionsgemeinschaften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Vermögensanlagen im Sinne von § 1 Absatz 2 Nummer 3 und 4 sind die §§ 5a, 6 bis 11a, 12 Absatz 1, die §§ 13 bis 15a, 17, 18 Absatz 1 Nummer 2 bis 7, § 19 Absatz 1 Nummer 2, die §§ 20 bis 22, 23 Absatz 2 Nummer 2 und 4, § 24 Absatz 5 bis 8 und § 25 nicht anzuwenden, wenn</w:t>
      </w:r>
    </w:p>
    <w:p>
      <w:pPr>
        <w:ind w:left="420"/>
      </w:pPr>
      <w:r>
        <w:t xml:space="preserve">1. für den Vertrieb der Vermögensanlagen keine erfolgsabhängige Vergütung gezahlt wird,</w:t>
      </w:r>
    </w:p>
    <w:p>
      <w:pPr>
        <w:ind w:left="420"/>
      </w:pPr>
      <w:r>
        <w:t xml:space="preserve">2. der Verkaufspreis sämtlicher angebotenen Vermögensanlagen desselben Emittenten 2,5 Millionen Euro nicht übersteigt und</w:t>
      </w:r>
    </w:p>
    <w:p>
      <w:pPr>
        <w:ind w:left="420"/>
      </w:pPr>
      <w:r>
        <w:t xml:space="preserve">3. der vereinbarte jährliche Sollzinssatz nicht über dem höheren der folgenden beiden Werte liegt:</w:t>
      </w:r>
    </w:p>
    <w:p>
      <w:pPr>
        <w:ind w:left="780"/>
      </w:pPr>
      <w:r>
        <w:t xml:space="preserve">a) 1,5 Prozent,</w:t>
      </w:r>
    </w:p>
    <w:p>
      <w:pPr>
        <w:ind w:left="780"/>
      </w:pPr>
      <w:r>
        <w:t xml:space="preserve">b) der marktüblichen Emissionsrendite für Anlagen am Kapitalmarkt in Hypothekenpfandbriefen mit gleicher Laufzeit.</w:t>
      </w:r>
    </w:p>
    <w:p>
      <w:r>
        <w:t xml:space="preserve">§ 2a Absatz 2 gilt entsprechend. Darüber hinaus sind unter den in Satz 1 Nummer 1 und 3 genannten Voraussetzungen auch die §§ 23 bis 25 nicht anzuwenden, wenn der Verkaufspreis sämtlicher angebotenen Vermögensanlagen desselben Emittenten 250 000 Euro nicht übersteigt.</w:t>
      </w:r>
    </w:p>
    <w:p>
      <w:r>
        <w:t xml:space="preserve">(2) Die Befreiung nach Absatz 1 ist nur auf Vermögensanlagen anwendbar, die ausgegeben werden von</w:t>
      </w:r>
    </w:p>
    <w:p>
      <w:pPr>
        <w:ind w:left="420"/>
      </w:pPr>
      <w:r>
        <w:t xml:space="preserve">1. Körperschaften, die nach § 52 Absatz 2 Satz 1 der Abgabenordnung als gemeinnützig anerkannt sind, oder</w:t>
      </w:r>
    </w:p>
    <w:p>
      <w:pPr>
        <w:ind w:left="420"/>
      </w:pPr>
      <w:r>
        <w:t xml:space="preserve">2. inländischen Kirchen oder Religionsgemeinschaften, die in der Rechtsform einer Körperschaft des öffentlichen Rechts verfasst sind und auf Grund des Artikels 140 des Grundgesetzes in Verbindung mit Artikel 137 Absatz 6 der Weimarer Reichsverfassung vom 11. August 1919 (RGBl. S. 1383) Steuern erheben oder am Steueraufkommen der steuererhebenden kirchlichen Körperschaften teilhaben.</w:t>
      </w:r>
    </w:p>
    <w:p>
      <w:r>
        <w:rPr>
          <w:color w:val="555555"/>
          <w:sz w:val="17"/>
        </w:rPr>
        <w:t xml:space="preserve">Zitiervorschlag: § 2c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