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2b VermAnlG — Befreiungen für soziale Projekte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Vermögensanlagen im Sinne von § 1 Absatz 2 Nummer 3 und 4 sind die §§ 5a, 6 bis 11a, 12 Absatz 1, § 14 Absatz 1 Satz 1 und Absatz 3 Satz 1, die §§ 15a, 17, 18 Absatz 1 Nummer 2 bis 6, § 19 Absatz 1 Nummer 2, die §§ 20, 21, 23 Absatz 2 Nummer 2 und 4, § 24 Absatz 5 bis 8 und § 25 nicht anzuwenden, wenn</w:t>
      </w:r>
    </w:p>
    <w:p>
      <w:pPr>
        <w:ind w:left="420"/>
      </w:pPr>
      <w:r>
        <w:t xml:space="preserve">1. für den Vertrieb der Vermögensanlagen keine erfolgsabhängige Vergütung gezahlt wird,</w:t>
      </w:r>
    </w:p>
    <w:p>
      <w:pPr>
        <w:ind w:left="420"/>
      </w:pPr>
      <w:r>
        <w:t xml:space="preserve">2. der Verkaufspreis sämtlicher angebotenen Vermögensanlagen desselben Emittenten 2,5 Millionen Euro nicht übersteigt und</w:t>
      </w:r>
    </w:p>
    <w:p>
      <w:pPr>
        <w:ind w:left="420"/>
      </w:pPr>
      <w:r>
        <w:t xml:space="preserve">3. der vereinbarte jährliche Sollzinssatz nicht über dem höheren der folgenden beiden Werte liegt:</w:t>
      </w:r>
    </w:p>
    <w:p>
      <w:pPr>
        <w:ind w:left="780"/>
      </w:pPr>
      <w:r>
        <w:t xml:space="preserve">a) 1,5 Prozent,</w:t>
      </w:r>
    </w:p>
    <w:p>
      <w:pPr>
        <w:ind w:left="780"/>
      </w:pPr>
      <w:r>
        <w:t xml:space="preserve">b) der marktüblichen Emissionsrendite für Anlagen am Kapitalmarkt in Hypothekenpfandbriefen mit gleicher Laufzeit.</w:t>
      </w:r>
    </w:p>
    <w:p>
      <w:r>
        <w:t xml:space="preserve">§ 2a Absatz 2 gilt entsprechend.</w:t>
      </w:r>
    </w:p>
    <w:p>
      <w:r>
        <w:t xml:space="preserve">(2) Die Befreiung nach Absatz 1 ist nur auf Vermögensanlagen anwendbar, die von Emittenten mit einer in der Satzung festgelegten sozialen Zielsetzung ausgegeben werden, die die folgenden Merkmale aufweisen:</w:t>
      </w:r>
    </w:p>
    <w:p>
      <w:pPr>
        <w:ind w:left="420"/>
      </w:pPr>
      <w:r>
        <w:t xml:space="preserve">1. höchstens 10 000 000 Euro Bilanzsumme und</w:t>
      </w:r>
    </w:p>
    <w:p>
      <w:pPr>
        <w:ind w:left="420"/>
      </w:pPr>
      <w:r>
        <w:t xml:space="preserve">2. höchstens 10 000 000 Euro Umsatzerlöse in den zwölf Monaten vor dem Abschlussstichtag.</w:t>
      </w:r>
    </w:p>
    <w:p>
      <w:r>
        <w:t xml:space="preserve">§ 267a Absatz 1 Satz 2 und 3 des Handelsgesetzbuchs ist entsprechend anzuwenden.</w:t>
      </w:r>
    </w:p>
    <w:p>
      <w:r>
        <w:rPr>
          <w:color w:val="555555"/>
          <w:sz w:val="17"/>
        </w:rPr>
        <w:t xml:space="preserve">Zitiervorschlag: § 2b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