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VermAnlG — Befreiungen für Schwarmfinanzierungen</w:t>
      </w:r>
    </w:p>
    <w:p>
      <w:r>
        <w:rPr>
          <w:color w:val="555555"/>
          <w:sz w:val="18"/>
        </w:rPr>
        <w:t xml:space="preserve">Vermögensanlagengesetz</w:t>
      </w:r>
    </w:p>
    <w:p>
      <w:r>
        <w:rPr>
          <w:color w:val="555555"/>
          <w:sz w:val="18"/>
        </w:rPr>
        <w:t xml:space="preserve">Stand: 14.03.2026 (konsolidierte Textfassung, kein amtliches Inkrafttretensdatum)</w:t>
      </w:r>
    </w:p>
    <w:p>
      <w:r>
        <w:t xml:space="preserve">(1) Die §§ 5a, 6 bis 11a, 12 Absatz 1, § 14 Absatz 1 Satz 1 und Absatz 3 Satz 1, die §§ 15a, 17 Absatz 1 und 2, § 18 Absatz 1 Nummer 2 bis 6, § 19 Absatz 1 Nummer 2, die §§ 20, 21, 23 Absatz 2 Nummer 2 und 4, § 24 Absatz 5 bis 8 und § 25 sind nicht anzuwenden auf Vermögensanlagen im Sinne von § 1 Absatz 2 Nummer 3 bis 5 und 7 und auf Anteile an einer Genossenschaft im Sinne des § 1 des Genossenschaftsgesetzes, wenn der Verkaufspreis sämtlicher in einem Zeitraum von zwölf Monaten angebotenen Vermögensanlagen desselben Emittenten 6 Millionen Euro nicht übersteigt; nicht verkaufte oder vollständig getilgte Vermögensanlagen werden nicht angerechnet.</w:t>
      </w:r>
    </w:p>
    <w:p>
      <w:r>
        <w:t xml:space="preserve">(2) § 23 Absatz 2 Nummer 1 ist im Fall des Absatzes 1 mit der Maßgabe anzuwenden, dass der Jahresabschluss nicht von einem Abschlussprüfer geprüft werden muss. § 24 Absatz 1 bis 4 ist im Fall des Absatzes 1 mit der Maßgabe anzuwenden, dass nach diesem Gesetz kein Lagebericht erstellt werden muss.</w:t>
      </w:r>
    </w:p>
    <w:p>
      <w:r>
        <w:t xml:space="preserve">(3) Die Befreiung nach den Absätzen 1 und 2 ist nur auf Vermögensanlagen anwendbar, die ausschließlich im Wege der Anlageberatung oder Anlagevermittlung über eine Internet-Dienstleistungsplattform vermittelt werden, die durch Gesetz oder Verordnung verpflichtet ist, zu prüfen, ob der Gesamtbetrag der Vermögensanlagen desselben Emittenten, die von einem Anleger erworben werden können, folgende Beträge nicht übersteigt:</w:t>
      </w:r>
    </w:p>
    <w:p>
      <w:pPr>
        <w:ind w:left="420"/>
      </w:pPr>
      <w:r>
        <w:t xml:space="preserve">1. 1 000 Euro,</w:t>
      </w:r>
    </w:p>
    <w:p>
      <w:pPr>
        <w:ind w:left="420"/>
      </w:pPr>
      <w:r>
        <w:t xml:space="preserve">2. 10 000 Euro, sofern der jeweilige Anleger nach einer von ihm zu erteilenden Selbstauskunft über ein frei verfügbares Vermögen in Form von Bankguthaben und Finanzinstrumenten von mindestens 100 000 Euro verfügt, oder</w:t>
      </w:r>
    </w:p>
    <w:p>
      <w:pPr>
        <w:ind w:left="420"/>
      </w:pPr>
      <w:r>
        <w:t xml:space="preserve">3. den zweifachen Betrag des durchschnittlichen monatlichen Nettoeinkommens des jeweiligen Anlegers nach einer von ihm zu erteilenden Selbstauskunft, höchstens jedoch 25 000 Euro.</w:t>
      </w:r>
    </w:p>
    <w:p>
      <w:r>
        <w:t xml:space="preserve">Die in Satz 1 genannten Beträge gelten nicht für einen Anleger, der eine Kapitalgesellschaft ist oder eine GmbH &amp; Co. KG, deren Kommanditisten gleichzeitig Gesellschafter der GmbH oder an der Entscheidungsfindung der GmbH beteiligt sind, sofern die GmbH &amp; Co. KG kein Investmentvermögen und keine Verwaltungsgesellschaft nach dem Kapitalanlagegesetzbuch ist.</w:t>
      </w:r>
    </w:p>
    <w:p>
      <w:r>
        <w:t xml:space="preserve">(4) Die Befreiung nach den Absätzen 1 und 2 kann nicht in Anspruch genommen werden, solange eine Vermögensanlage des Emittenten nach § 2 Absatz 1 Nummer 3 öffentlich angeboten wird oder eine auf diese Weise angebotene Vermögensanlage des Emittenten nicht vollständig getilgt ist.</w:t>
      </w:r>
    </w:p>
    <w:p>
      <w:r>
        <w:t xml:space="preserve">(5) Vermögensanlagen sind zum öffentlichen Angebot nicht zugelassen wenn maßgebliche Interessenverflechtungen zwischen dem jeweiligen Emittenten und dem Unternehmen, das die Internet-Dienstleistungsplattform betreibt, bestehen. Eine maßgebliche Interessenverflechtung liegt insbesondere vor, wenn</w:t>
      </w:r>
    </w:p>
    <w:p>
      <w:pPr>
        <w:ind w:left="420"/>
      </w:pPr>
      <w:r>
        <w:t xml:space="preserve">1. ein Mitglied der Geschäftsführung des Emittenten oder seines Vorstands oder deren Angehöriger im Sinne des § 15 der Abgabenordnung auch Mitglied der Geschäftsführung oder des Vorstands des Unternehmens ist, das die Internet-Dienstleistungsplattform betreibt, oder</w:t>
      </w:r>
    </w:p>
    <w:p>
      <w:pPr>
        <w:ind w:left="420"/>
      </w:pPr>
      <w:r>
        <w:t xml:space="preserve">2. der Emittent mit dem Unternehmen, das die Internet-Dienstleistungsplattform betreibt, gemäß § 15 des Aktiengesetzes verbunden ist.</w:t>
      </w:r>
    </w:p>
    <w:p>
      <w:r>
        <w:rPr>
          <w:color w:val="555555"/>
          <w:sz w:val="17"/>
        </w:rPr>
        <w:t xml:space="preserve">Zitiervorschlag: § 2a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